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FDB5" w14:textId="77777777" w:rsidR="00184317" w:rsidRDefault="00184317" w:rsidP="0063733B">
      <w:pPr>
        <w:jc w:val="center"/>
        <w:outlineLvl w:val="1"/>
        <w:rPr>
          <w:rFonts w:ascii="Times New Roman" w:eastAsia="Times New Roman" w:hAnsi="Times New Roman" w:cs="Times New Roman"/>
          <w:b/>
          <w:bCs/>
          <w:color w:val="000000"/>
          <w:kern w:val="0"/>
          <w:sz w:val="36"/>
          <w:szCs w:val="36"/>
          <w:lang w:eastAsia="en-GB"/>
          <w14:ligatures w14:val="none"/>
        </w:rPr>
      </w:pPr>
    </w:p>
    <w:p w14:paraId="2441AEA4" w14:textId="792B1C31" w:rsidR="00184317" w:rsidRPr="00184317" w:rsidRDefault="00184317" w:rsidP="0063733B">
      <w:pPr>
        <w:jc w:val="center"/>
        <w:outlineLvl w:val="1"/>
        <w:rPr>
          <w:rFonts w:ascii="Times New Roman" w:eastAsia="Times New Roman" w:hAnsi="Times New Roman" w:cs="Times New Roman"/>
          <w:b/>
          <w:bCs/>
          <w:strike/>
          <w:color w:val="000000"/>
          <w:kern w:val="0"/>
          <w:sz w:val="36"/>
          <w:szCs w:val="36"/>
          <w:lang w:eastAsia="en-GB"/>
          <w14:ligatures w14:val="none"/>
        </w:rPr>
      </w:pPr>
    </w:p>
    <w:p w14:paraId="400A8F42" w14:textId="7730BFF9" w:rsidR="0013210C" w:rsidRPr="0013210C" w:rsidRDefault="0013210C" w:rsidP="0063733B">
      <w:pPr>
        <w:jc w:val="center"/>
        <w:outlineLvl w:val="1"/>
        <w:rPr>
          <w:rFonts w:ascii="Times New Roman" w:eastAsia="Times New Roman" w:hAnsi="Times New Roman" w:cs="Times New Roman"/>
          <w:b/>
          <w:bCs/>
          <w:color w:val="000000"/>
          <w:kern w:val="0"/>
          <w:sz w:val="36"/>
          <w:szCs w:val="36"/>
          <w:lang w:eastAsia="en-GB"/>
          <w14:ligatures w14:val="none"/>
        </w:rPr>
      </w:pPr>
      <w:r w:rsidRPr="0013210C">
        <w:rPr>
          <w:rFonts w:ascii="Times New Roman" w:eastAsia="Times New Roman" w:hAnsi="Times New Roman" w:cs="Times New Roman"/>
          <w:b/>
          <w:bCs/>
          <w:color w:val="000000"/>
          <w:kern w:val="0"/>
          <w:sz w:val="36"/>
          <w:szCs w:val="36"/>
          <w:lang w:eastAsia="en-GB"/>
          <w14:ligatures w14:val="none"/>
        </w:rPr>
        <w:t>Embodied Ritual Somatics in Buddhist Tantra:</w:t>
      </w:r>
    </w:p>
    <w:p w14:paraId="7026BDED" w14:textId="77777777" w:rsidR="0013210C" w:rsidRDefault="0013210C" w:rsidP="0063733B">
      <w:pPr>
        <w:jc w:val="center"/>
        <w:outlineLvl w:val="1"/>
        <w:rPr>
          <w:rFonts w:ascii="Times New Roman" w:eastAsia="Times New Roman" w:hAnsi="Times New Roman" w:cs="Times New Roman"/>
          <w:b/>
          <w:bCs/>
          <w:i/>
          <w:iCs/>
          <w:color w:val="000000"/>
          <w:kern w:val="0"/>
          <w:sz w:val="36"/>
          <w:szCs w:val="36"/>
          <w:lang w:eastAsia="en-GB"/>
          <w14:ligatures w14:val="none"/>
        </w:rPr>
      </w:pPr>
      <w:r w:rsidRPr="0013210C">
        <w:rPr>
          <w:rFonts w:ascii="Times New Roman" w:eastAsia="Times New Roman" w:hAnsi="Times New Roman" w:cs="Times New Roman"/>
          <w:b/>
          <w:bCs/>
          <w:color w:val="000000"/>
          <w:kern w:val="0"/>
          <w:sz w:val="36"/>
          <w:szCs w:val="36"/>
          <w:lang w:eastAsia="en-GB"/>
          <w14:ligatures w14:val="none"/>
        </w:rPr>
        <w:t>Dance, Song, and the Path of Sahaja in the </w:t>
      </w:r>
      <w:r w:rsidRPr="0013210C">
        <w:rPr>
          <w:rFonts w:ascii="Times New Roman" w:eastAsia="Times New Roman" w:hAnsi="Times New Roman" w:cs="Times New Roman"/>
          <w:b/>
          <w:bCs/>
          <w:i/>
          <w:iCs/>
          <w:color w:val="000000"/>
          <w:kern w:val="0"/>
          <w:sz w:val="36"/>
          <w:szCs w:val="36"/>
          <w:lang w:eastAsia="en-GB"/>
          <w14:ligatures w14:val="none"/>
        </w:rPr>
        <w:t>Caryāpaṭala</w:t>
      </w:r>
      <w:r w:rsidRPr="0013210C">
        <w:rPr>
          <w:rFonts w:ascii="Times New Roman" w:eastAsia="Times New Roman" w:hAnsi="Times New Roman" w:cs="Times New Roman"/>
          <w:b/>
          <w:bCs/>
          <w:color w:val="000000"/>
          <w:kern w:val="0"/>
          <w:sz w:val="36"/>
          <w:szCs w:val="36"/>
          <w:lang w:eastAsia="en-GB"/>
          <w14:ligatures w14:val="none"/>
        </w:rPr>
        <w:t> (1.6) of the </w:t>
      </w:r>
      <w:r w:rsidRPr="0013210C">
        <w:rPr>
          <w:rFonts w:ascii="Times New Roman" w:eastAsia="Times New Roman" w:hAnsi="Times New Roman" w:cs="Times New Roman"/>
          <w:b/>
          <w:bCs/>
          <w:i/>
          <w:iCs/>
          <w:color w:val="000000"/>
          <w:kern w:val="0"/>
          <w:sz w:val="36"/>
          <w:szCs w:val="36"/>
          <w:lang w:eastAsia="en-GB"/>
          <w14:ligatures w14:val="none"/>
        </w:rPr>
        <w:t>Hevajratantra</w:t>
      </w:r>
    </w:p>
    <w:p w14:paraId="573E1400" w14:textId="3A86D39B" w:rsidR="004B54A9" w:rsidRPr="009571F7" w:rsidRDefault="004B54A9" w:rsidP="009571F7">
      <w:pPr>
        <w:outlineLvl w:val="1"/>
        <w:rPr>
          <w:rFonts w:ascii="Times New Roman" w:eastAsia="Times New Roman" w:hAnsi="Times New Roman" w:cs="Times New Roman"/>
          <w:b/>
          <w:bCs/>
          <w:i/>
          <w:iCs/>
          <w:color w:val="000000"/>
          <w:kern w:val="0"/>
          <w:sz w:val="36"/>
          <w:szCs w:val="36"/>
          <w:lang w:val="en-US" w:eastAsia="en-GB"/>
          <w14:ligatures w14:val="none"/>
        </w:rPr>
      </w:pPr>
    </w:p>
    <w:p w14:paraId="4B9897FE" w14:textId="77777777" w:rsidR="0063733B" w:rsidRPr="0063733B" w:rsidRDefault="0063733B" w:rsidP="0063733B">
      <w:pPr>
        <w:outlineLvl w:val="1"/>
        <w:rPr>
          <w:rFonts w:ascii="Times New Roman" w:eastAsia="Times New Roman" w:hAnsi="Times New Roman" w:cs="Times New Roman"/>
          <w:b/>
          <w:bCs/>
          <w:color w:val="000000"/>
          <w:kern w:val="0"/>
          <w:sz w:val="28"/>
          <w:szCs w:val="28"/>
          <w:lang w:eastAsia="en-GB"/>
          <w14:ligatures w14:val="none"/>
        </w:rPr>
      </w:pPr>
      <w:r w:rsidRPr="0063733B">
        <w:rPr>
          <w:rFonts w:ascii="Times New Roman" w:eastAsia="Times New Roman" w:hAnsi="Times New Roman" w:cs="Times New Roman"/>
          <w:b/>
          <w:bCs/>
          <w:color w:val="000000"/>
          <w:kern w:val="0"/>
          <w:sz w:val="28"/>
          <w:szCs w:val="28"/>
          <w:lang w:eastAsia="en-GB"/>
          <w14:ligatures w14:val="none"/>
        </w:rPr>
        <w:t>Abstract</w:t>
      </w:r>
    </w:p>
    <w:p w14:paraId="380BD872" w14:textId="77777777" w:rsid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color w:val="000000"/>
          <w:kern w:val="0"/>
          <w:szCs w:val="24"/>
          <w:lang w:eastAsia="en-GB"/>
          <w14:ligatures w14:val="none"/>
        </w:rPr>
        <w:t>This essay critically examines the embodied ritual aesthetics of the </w:t>
      </w:r>
      <w:r w:rsidRPr="0063733B">
        <w:rPr>
          <w:rFonts w:ascii="Times New Roman" w:eastAsia="Times New Roman" w:hAnsi="Times New Roman" w:cs="Times New Roman"/>
          <w:i/>
          <w:iCs/>
          <w:color w:val="000000"/>
          <w:kern w:val="0"/>
          <w:szCs w:val="24"/>
          <w:lang w:eastAsia="en-GB"/>
          <w14:ligatures w14:val="none"/>
        </w:rPr>
        <w:t>Caryāpaṭala</w:t>
      </w:r>
      <w:r w:rsidRPr="0063733B">
        <w:rPr>
          <w:rFonts w:ascii="Times New Roman" w:eastAsia="Times New Roman" w:hAnsi="Times New Roman" w:cs="Times New Roman"/>
          <w:color w:val="000000"/>
          <w:kern w:val="0"/>
          <w:szCs w:val="24"/>
          <w:lang w:eastAsia="en-GB"/>
          <w14:ligatures w14:val="none"/>
        </w:rPr>
        <w:t> (1.6) of the Hevajratantra through the conceptual framework of “performed liberation.” Situating the text within the tantric Buddhist milieu of Pāla-period eastern Bengal, the study argues that dance and song in the </w:t>
      </w:r>
      <w:r w:rsidRPr="0063733B">
        <w:rPr>
          <w:rFonts w:ascii="Times New Roman" w:eastAsia="Times New Roman" w:hAnsi="Times New Roman" w:cs="Times New Roman"/>
          <w:i/>
          <w:iCs/>
          <w:color w:val="000000"/>
          <w:kern w:val="0"/>
          <w:szCs w:val="24"/>
          <w:lang w:eastAsia="en-GB"/>
          <w14:ligatures w14:val="none"/>
        </w:rPr>
        <w:t>Hevajratantra</w:t>
      </w:r>
      <w:r w:rsidRPr="0063733B">
        <w:rPr>
          <w:rFonts w:ascii="Times New Roman" w:eastAsia="Times New Roman" w:hAnsi="Times New Roman" w:cs="Times New Roman"/>
          <w:color w:val="000000"/>
          <w:kern w:val="0"/>
          <w:szCs w:val="24"/>
          <w:lang w:eastAsia="en-GB"/>
          <w14:ligatures w14:val="none"/>
        </w:rPr>
        <w:t> are not theatrical representations intended for spectatorship, but forms of contemplative embodiment and ritual transformation. The essay proposes the term </w:t>
      </w:r>
      <w:r w:rsidRPr="0063733B">
        <w:rPr>
          <w:rFonts w:ascii="Times New Roman" w:eastAsia="Times New Roman" w:hAnsi="Times New Roman" w:cs="Times New Roman"/>
          <w:i/>
          <w:iCs/>
          <w:color w:val="000000"/>
          <w:kern w:val="0"/>
          <w:szCs w:val="24"/>
          <w:lang w:eastAsia="en-GB"/>
          <w14:ligatures w14:val="none"/>
        </w:rPr>
        <w:t>ritual somatics</w:t>
      </w:r>
      <w:r w:rsidRPr="0063733B">
        <w:rPr>
          <w:rFonts w:ascii="Times New Roman" w:eastAsia="Times New Roman" w:hAnsi="Times New Roman" w:cs="Times New Roman"/>
          <w:color w:val="000000"/>
          <w:kern w:val="0"/>
          <w:szCs w:val="24"/>
          <w:lang w:eastAsia="en-GB"/>
          <w14:ligatures w14:val="none"/>
        </w:rPr>
        <w:t> to describe this body-centered tantric praxis in which movement itself functions as </w:t>
      </w:r>
      <w:r w:rsidRPr="0063733B">
        <w:rPr>
          <w:rFonts w:ascii="Times New Roman" w:eastAsia="Times New Roman" w:hAnsi="Times New Roman" w:cs="Times New Roman"/>
          <w:i/>
          <w:iCs/>
          <w:color w:val="000000"/>
          <w:kern w:val="0"/>
          <w:szCs w:val="24"/>
          <w:lang w:eastAsia="en-GB"/>
          <w14:ligatures w14:val="none"/>
        </w:rPr>
        <w:t>bhāvanā</w:t>
      </w:r>
      <w:r w:rsidRPr="0063733B">
        <w:rPr>
          <w:rFonts w:ascii="Times New Roman" w:eastAsia="Times New Roman" w:hAnsi="Times New Roman" w:cs="Times New Roman"/>
          <w:color w:val="000000"/>
          <w:kern w:val="0"/>
          <w:szCs w:val="24"/>
          <w:lang w:eastAsia="en-GB"/>
          <w14:ligatures w14:val="none"/>
        </w:rPr>
        <w:t> (meditative cultivation).</w:t>
      </w:r>
    </w:p>
    <w:p w14:paraId="03E25B83"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p>
    <w:p w14:paraId="397B59D7"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color w:val="000000"/>
          <w:kern w:val="0"/>
          <w:szCs w:val="24"/>
          <w:lang w:eastAsia="en-GB"/>
          <w14:ligatures w14:val="none"/>
        </w:rPr>
        <w:t>Drawing upon the Buddhist doctrine of </w:t>
      </w:r>
      <w:r w:rsidRPr="0063733B">
        <w:rPr>
          <w:rFonts w:ascii="Times New Roman" w:eastAsia="Times New Roman" w:hAnsi="Times New Roman" w:cs="Times New Roman"/>
          <w:i/>
          <w:iCs/>
          <w:color w:val="000000"/>
          <w:kern w:val="0"/>
          <w:szCs w:val="24"/>
          <w:lang w:eastAsia="en-GB"/>
          <w14:ligatures w14:val="none"/>
        </w:rPr>
        <w:t>pratītyasamutpāda</w:t>
      </w:r>
      <w:r w:rsidRPr="0063733B">
        <w:rPr>
          <w:rFonts w:ascii="Times New Roman" w:eastAsia="Times New Roman" w:hAnsi="Times New Roman" w:cs="Times New Roman"/>
          <w:color w:val="000000"/>
          <w:kern w:val="0"/>
          <w:szCs w:val="24"/>
          <w:lang w:eastAsia="en-GB"/>
          <w14:ligatures w14:val="none"/>
        </w:rPr>
        <w:t> (dependent origination), the study interprets tantric dance as an embodied realization of impermanence, emptiness, and </w:t>
      </w:r>
      <w:r w:rsidRPr="0063733B">
        <w:rPr>
          <w:rFonts w:ascii="Times New Roman" w:eastAsia="Times New Roman" w:hAnsi="Times New Roman" w:cs="Times New Roman"/>
          <w:i/>
          <w:iCs/>
          <w:color w:val="000000"/>
          <w:kern w:val="0"/>
          <w:szCs w:val="24"/>
          <w:lang w:eastAsia="en-GB"/>
          <w14:ligatures w14:val="none"/>
        </w:rPr>
        <w:t>mahāsukha</w:t>
      </w:r>
      <w:r w:rsidRPr="0063733B">
        <w:rPr>
          <w:rFonts w:ascii="Times New Roman" w:eastAsia="Times New Roman" w:hAnsi="Times New Roman" w:cs="Times New Roman"/>
          <w:color w:val="000000"/>
          <w:kern w:val="0"/>
          <w:szCs w:val="24"/>
          <w:lang w:eastAsia="en-GB"/>
          <w14:ligatures w14:val="none"/>
        </w:rPr>
        <w:t> (“great bliss”). It further contrasts this tantric paradigm with the spectator-oriented aesthetics of Bharata’s </w:t>
      </w:r>
      <w:r w:rsidRPr="0063733B">
        <w:rPr>
          <w:rFonts w:ascii="Times New Roman" w:eastAsia="Times New Roman" w:hAnsi="Times New Roman" w:cs="Times New Roman"/>
          <w:i/>
          <w:iCs/>
          <w:color w:val="000000"/>
          <w:kern w:val="0"/>
          <w:szCs w:val="24"/>
          <w:lang w:eastAsia="en-GB"/>
          <w14:ligatures w14:val="none"/>
        </w:rPr>
        <w:t>Nāṭyaśāstra</w:t>
      </w:r>
      <w:r w:rsidRPr="0063733B">
        <w:rPr>
          <w:rFonts w:ascii="Times New Roman" w:eastAsia="Times New Roman" w:hAnsi="Times New Roman" w:cs="Times New Roman"/>
          <w:color w:val="000000"/>
          <w:kern w:val="0"/>
          <w:szCs w:val="24"/>
          <w:lang w:eastAsia="en-GB"/>
          <w14:ligatures w14:val="none"/>
        </w:rPr>
        <w:t> and Abhinavagupta’s theory of </w:t>
      </w:r>
      <w:r w:rsidRPr="0063733B">
        <w:rPr>
          <w:rFonts w:ascii="Times New Roman" w:eastAsia="Times New Roman" w:hAnsi="Times New Roman" w:cs="Times New Roman"/>
          <w:i/>
          <w:iCs/>
          <w:color w:val="000000"/>
          <w:kern w:val="0"/>
          <w:szCs w:val="24"/>
          <w:lang w:eastAsia="en-GB"/>
          <w14:ligatures w14:val="none"/>
        </w:rPr>
        <w:t>alaukika rasa</w:t>
      </w:r>
      <w:r w:rsidRPr="0063733B">
        <w:rPr>
          <w:rFonts w:ascii="Times New Roman" w:eastAsia="Times New Roman" w:hAnsi="Times New Roman" w:cs="Times New Roman"/>
          <w:color w:val="000000"/>
          <w:kern w:val="0"/>
          <w:szCs w:val="24"/>
          <w:lang w:eastAsia="en-GB"/>
          <w14:ligatures w14:val="none"/>
        </w:rPr>
        <w:t>, arguing that the </w:t>
      </w:r>
      <w:r w:rsidRPr="0063733B">
        <w:rPr>
          <w:rFonts w:ascii="Times New Roman" w:eastAsia="Times New Roman" w:hAnsi="Times New Roman" w:cs="Times New Roman"/>
          <w:i/>
          <w:iCs/>
          <w:color w:val="000000"/>
          <w:kern w:val="0"/>
          <w:szCs w:val="24"/>
          <w:lang w:eastAsia="en-GB"/>
          <w14:ligatures w14:val="none"/>
        </w:rPr>
        <w:t>Hevajratantra</w:t>
      </w:r>
      <w:r w:rsidRPr="0063733B">
        <w:rPr>
          <w:rFonts w:ascii="Times New Roman" w:eastAsia="Times New Roman" w:hAnsi="Times New Roman" w:cs="Times New Roman"/>
          <w:color w:val="000000"/>
          <w:kern w:val="0"/>
          <w:szCs w:val="24"/>
          <w:lang w:eastAsia="en-GB"/>
          <w14:ligatures w14:val="none"/>
        </w:rPr>
        <w:t> privileges intensified participation over aesthetic detachment.</w:t>
      </w:r>
    </w:p>
    <w:p w14:paraId="4E695379" w14:textId="77777777" w:rsidR="0063733B" w:rsidRDefault="0063733B" w:rsidP="0063733B">
      <w:pPr>
        <w:rPr>
          <w:rFonts w:ascii="Times New Roman" w:eastAsia="Times New Roman" w:hAnsi="Times New Roman" w:cs="Times New Roman"/>
          <w:color w:val="000000"/>
          <w:kern w:val="0"/>
          <w:szCs w:val="24"/>
          <w:lang w:eastAsia="en-GB"/>
          <w14:ligatures w14:val="none"/>
        </w:rPr>
      </w:pPr>
    </w:p>
    <w:p w14:paraId="4C32716F" w14:textId="1DDD5096" w:rsid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color w:val="000000"/>
          <w:kern w:val="0"/>
          <w:szCs w:val="24"/>
          <w:lang w:eastAsia="en-GB"/>
          <w14:ligatures w14:val="none"/>
        </w:rPr>
        <w:t>The essay develops an interdisciplinary theoretical framework through engagement with Catherine Bell’s concept of ritualization, Thomas J. Csordas’s theory of embodiment, Victor Turner’s liminality, and Richard Schechner’s restored behavior. Comparative reflections on the Mevlevi </w:t>
      </w:r>
      <w:r w:rsidRPr="0063733B">
        <w:rPr>
          <w:rFonts w:ascii="Times New Roman" w:eastAsia="Times New Roman" w:hAnsi="Times New Roman" w:cs="Times New Roman"/>
          <w:i/>
          <w:iCs/>
          <w:color w:val="000000"/>
          <w:kern w:val="0"/>
          <w:szCs w:val="24"/>
          <w:lang w:eastAsia="en-GB"/>
          <w14:ligatures w14:val="none"/>
        </w:rPr>
        <w:t>Semā</w:t>
      </w:r>
      <w:r w:rsidRPr="0063733B">
        <w:rPr>
          <w:rFonts w:ascii="Times New Roman" w:eastAsia="Times New Roman" w:hAnsi="Times New Roman" w:cs="Times New Roman"/>
          <w:color w:val="000000"/>
          <w:kern w:val="0"/>
          <w:szCs w:val="24"/>
          <w:lang w:eastAsia="en-GB"/>
          <w14:ligatures w14:val="none"/>
        </w:rPr>
        <w:t> tradition further illuminate the role of ritual movement as contemplative technology.</w:t>
      </w:r>
    </w:p>
    <w:p w14:paraId="4E2F0336"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p>
    <w:p w14:paraId="4636917B" w14:textId="77777777" w:rsid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color w:val="000000"/>
          <w:kern w:val="0"/>
          <w:szCs w:val="24"/>
          <w:lang w:eastAsia="en-GB"/>
          <w14:ligatures w14:val="none"/>
        </w:rPr>
        <w:t>In addition, the essay explores conceptual resonances between the </w:t>
      </w:r>
      <w:r w:rsidRPr="0063733B">
        <w:rPr>
          <w:rFonts w:ascii="Times New Roman" w:eastAsia="Times New Roman" w:hAnsi="Times New Roman" w:cs="Times New Roman"/>
          <w:i/>
          <w:iCs/>
          <w:color w:val="000000"/>
          <w:kern w:val="0"/>
          <w:szCs w:val="24"/>
          <w:lang w:eastAsia="en-GB"/>
          <w14:ligatures w14:val="none"/>
        </w:rPr>
        <w:t>Hevajratantra</w:t>
      </w:r>
      <w:r w:rsidRPr="0063733B">
        <w:rPr>
          <w:rFonts w:ascii="Times New Roman" w:eastAsia="Times New Roman" w:hAnsi="Times New Roman" w:cs="Times New Roman"/>
          <w:color w:val="000000"/>
          <w:kern w:val="0"/>
          <w:szCs w:val="24"/>
          <w:lang w:eastAsia="en-GB"/>
          <w14:ligatures w14:val="none"/>
        </w:rPr>
        <w:t> and Vasubandhu’s </w:t>
      </w:r>
      <w:r w:rsidRPr="0063733B">
        <w:rPr>
          <w:rFonts w:ascii="Times New Roman" w:eastAsia="Times New Roman" w:hAnsi="Times New Roman" w:cs="Times New Roman"/>
          <w:i/>
          <w:iCs/>
          <w:color w:val="000000"/>
          <w:kern w:val="0"/>
          <w:szCs w:val="24"/>
          <w:lang w:eastAsia="en-GB"/>
          <w14:ligatures w14:val="none"/>
        </w:rPr>
        <w:t>Abhidharmakośabhāṣya</w:t>
      </w:r>
      <w:r w:rsidRPr="0063733B">
        <w:rPr>
          <w:rFonts w:ascii="Times New Roman" w:eastAsia="Times New Roman" w:hAnsi="Times New Roman" w:cs="Times New Roman"/>
          <w:color w:val="000000"/>
          <w:kern w:val="0"/>
          <w:szCs w:val="24"/>
          <w:lang w:eastAsia="en-GB"/>
          <w14:ligatures w14:val="none"/>
        </w:rPr>
        <w:t>, particularly regarding </w:t>
      </w:r>
      <w:r w:rsidRPr="0063733B">
        <w:rPr>
          <w:rFonts w:ascii="Times New Roman" w:eastAsia="Times New Roman" w:hAnsi="Times New Roman" w:cs="Times New Roman"/>
          <w:i/>
          <w:iCs/>
          <w:color w:val="000000"/>
          <w:kern w:val="0"/>
          <w:szCs w:val="24"/>
          <w:lang w:eastAsia="en-GB"/>
          <w14:ligatures w14:val="none"/>
        </w:rPr>
        <w:t>manopavicāra</w:t>
      </w:r>
      <w:r w:rsidRPr="0063733B">
        <w:rPr>
          <w:rFonts w:ascii="Times New Roman" w:eastAsia="Times New Roman" w:hAnsi="Times New Roman" w:cs="Times New Roman"/>
          <w:color w:val="000000"/>
          <w:kern w:val="0"/>
          <w:szCs w:val="24"/>
          <w:lang w:eastAsia="en-GB"/>
          <w14:ligatures w14:val="none"/>
        </w:rPr>
        <w:t>, </w:t>
      </w:r>
      <w:r w:rsidRPr="0063733B">
        <w:rPr>
          <w:rFonts w:ascii="Times New Roman" w:eastAsia="Times New Roman" w:hAnsi="Times New Roman" w:cs="Times New Roman"/>
          <w:i/>
          <w:iCs/>
          <w:color w:val="000000"/>
          <w:kern w:val="0"/>
          <w:szCs w:val="24"/>
          <w:lang w:eastAsia="en-GB"/>
          <w14:ligatures w14:val="none"/>
        </w:rPr>
        <w:t>ahetuka citta</w:t>
      </w:r>
      <w:r w:rsidRPr="0063733B">
        <w:rPr>
          <w:rFonts w:ascii="Times New Roman" w:eastAsia="Times New Roman" w:hAnsi="Times New Roman" w:cs="Times New Roman"/>
          <w:color w:val="000000"/>
          <w:kern w:val="0"/>
          <w:szCs w:val="24"/>
          <w:lang w:eastAsia="en-GB"/>
          <w14:ligatures w14:val="none"/>
        </w:rPr>
        <w:t>, </w:t>
      </w:r>
      <w:r w:rsidRPr="0063733B">
        <w:rPr>
          <w:rFonts w:ascii="Times New Roman" w:eastAsia="Times New Roman" w:hAnsi="Times New Roman" w:cs="Times New Roman"/>
          <w:i/>
          <w:iCs/>
          <w:color w:val="000000"/>
          <w:kern w:val="0"/>
          <w:szCs w:val="24"/>
          <w:lang w:eastAsia="en-GB"/>
          <w14:ligatures w14:val="none"/>
        </w:rPr>
        <w:t>sparśa</w:t>
      </w:r>
      <w:r w:rsidRPr="0063733B">
        <w:rPr>
          <w:rFonts w:ascii="Times New Roman" w:eastAsia="Times New Roman" w:hAnsi="Times New Roman" w:cs="Times New Roman"/>
          <w:color w:val="000000"/>
          <w:kern w:val="0"/>
          <w:szCs w:val="24"/>
          <w:lang w:eastAsia="en-GB"/>
          <w14:ligatures w14:val="none"/>
        </w:rPr>
        <w:t>, </w:t>
      </w:r>
      <w:r w:rsidRPr="0063733B">
        <w:rPr>
          <w:rFonts w:ascii="Times New Roman" w:eastAsia="Times New Roman" w:hAnsi="Times New Roman" w:cs="Times New Roman"/>
          <w:i/>
          <w:iCs/>
          <w:color w:val="000000"/>
          <w:kern w:val="0"/>
          <w:szCs w:val="24"/>
          <w:lang w:eastAsia="en-GB"/>
          <w14:ligatures w14:val="none"/>
        </w:rPr>
        <w:t>vedanā</w:t>
      </w:r>
      <w:r w:rsidRPr="0063733B">
        <w:rPr>
          <w:rFonts w:ascii="Times New Roman" w:eastAsia="Times New Roman" w:hAnsi="Times New Roman" w:cs="Times New Roman"/>
          <w:color w:val="000000"/>
          <w:kern w:val="0"/>
          <w:szCs w:val="24"/>
          <w:lang w:eastAsia="en-GB"/>
          <w14:ligatures w14:val="none"/>
        </w:rPr>
        <w:t>, and </w:t>
      </w:r>
      <w:r w:rsidRPr="0063733B">
        <w:rPr>
          <w:rFonts w:ascii="Times New Roman" w:eastAsia="Times New Roman" w:hAnsi="Times New Roman" w:cs="Times New Roman"/>
          <w:i/>
          <w:iCs/>
          <w:color w:val="000000"/>
          <w:kern w:val="0"/>
          <w:szCs w:val="24"/>
          <w:lang w:eastAsia="en-GB"/>
          <w14:ligatures w14:val="none"/>
        </w:rPr>
        <w:t>kāyavijñapti</w:t>
      </w:r>
      <w:r w:rsidRPr="0063733B">
        <w:rPr>
          <w:rFonts w:ascii="Times New Roman" w:eastAsia="Times New Roman" w:hAnsi="Times New Roman" w:cs="Times New Roman"/>
          <w:color w:val="000000"/>
          <w:kern w:val="0"/>
          <w:szCs w:val="24"/>
          <w:lang w:eastAsia="en-GB"/>
          <w14:ligatures w14:val="none"/>
        </w:rPr>
        <w:t>, while carefully distinguishing conceptual parallels from claims of direct historical influence.</w:t>
      </w:r>
    </w:p>
    <w:p w14:paraId="65802111"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p>
    <w:p w14:paraId="3677F393" w14:textId="77777777" w:rsid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color w:val="000000"/>
          <w:kern w:val="0"/>
          <w:szCs w:val="24"/>
          <w:lang w:eastAsia="en-GB"/>
          <w14:ligatures w14:val="none"/>
        </w:rPr>
        <w:t>Ultimately, the essay argues that the </w:t>
      </w:r>
      <w:r w:rsidRPr="0063733B">
        <w:rPr>
          <w:rFonts w:ascii="Times New Roman" w:eastAsia="Times New Roman" w:hAnsi="Times New Roman" w:cs="Times New Roman"/>
          <w:i/>
          <w:iCs/>
          <w:color w:val="000000"/>
          <w:kern w:val="0"/>
          <w:szCs w:val="24"/>
          <w:lang w:eastAsia="en-GB"/>
          <w14:ligatures w14:val="none"/>
        </w:rPr>
        <w:t>Hevajratantra</w:t>
      </w:r>
      <w:r w:rsidRPr="0063733B">
        <w:rPr>
          <w:rFonts w:ascii="Times New Roman" w:eastAsia="Times New Roman" w:hAnsi="Times New Roman" w:cs="Times New Roman"/>
          <w:color w:val="000000"/>
          <w:kern w:val="0"/>
          <w:szCs w:val="24"/>
          <w:lang w:eastAsia="en-GB"/>
          <w14:ligatures w14:val="none"/>
        </w:rPr>
        <w:t> preserves a radical alternative to dominant South Asian aesthetic paradigms: one in which liberation is not represented aesthetically but enacted somatically through ritualized movement, sound, and embodied awareness.</w:t>
      </w:r>
    </w:p>
    <w:p w14:paraId="248F01CC"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p>
    <w:p w14:paraId="32C82AB7" w14:textId="77777777" w:rsidR="0063733B" w:rsidRPr="0063733B" w:rsidRDefault="0063733B" w:rsidP="0063733B">
      <w:pPr>
        <w:outlineLvl w:val="1"/>
        <w:rPr>
          <w:rFonts w:ascii="Times New Roman" w:eastAsia="Times New Roman" w:hAnsi="Times New Roman" w:cs="Times New Roman"/>
          <w:b/>
          <w:bCs/>
          <w:color w:val="000000"/>
          <w:kern w:val="0"/>
          <w:szCs w:val="24"/>
          <w:lang w:eastAsia="en-GB"/>
          <w14:ligatures w14:val="none"/>
        </w:rPr>
      </w:pPr>
      <w:r w:rsidRPr="0063733B">
        <w:rPr>
          <w:rFonts w:ascii="Times New Roman" w:eastAsia="Times New Roman" w:hAnsi="Times New Roman" w:cs="Times New Roman"/>
          <w:b/>
          <w:bCs/>
          <w:color w:val="000000"/>
          <w:kern w:val="0"/>
          <w:szCs w:val="24"/>
          <w:lang w:eastAsia="en-GB"/>
          <w14:ligatures w14:val="none"/>
        </w:rPr>
        <w:t>Keywords</w:t>
      </w:r>
    </w:p>
    <w:p w14:paraId="441B7FED" w14:textId="77777777" w:rsidR="0063733B" w:rsidRPr="0063733B" w:rsidRDefault="0063733B" w:rsidP="0063733B">
      <w:pPr>
        <w:rPr>
          <w:rFonts w:ascii="Times New Roman" w:eastAsia="Times New Roman" w:hAnsi="Times New Roman" w:cs="Times New Roman"/>
          <w:color w:val="000000"/>
          <w:kern w:val="0"/>
          <w:szCs w:val="24"/>
          <w:lang w:eastAsia="en-GB"/>
          <w14:ligatures w14:val="none"/>
        </w:rPr>
      </w:pPr>
      <w:r w:rsidRPr="0063733B">
        <w:rPr>
          <w:rFonts w:ascii="Times New Roman" w:eastAsia="Times New Roman" w:hAnsi="Times New Roman" w:cs="Times New Roman"/>
          <w:i/>
          <w:iCs/>
          <w:color w:val="000000"/>
          <w:kern w:val="0"/>
          <w:szCs w:val="24"/>
          <w:lang w:eastAsia="en-GB"/>
          <w14:ligatures w14:val="none"/>
        </w:rPr>
        <w:t>Hevajratantra</w:t>
      </w:r>
      <w:r w:rsidRPr="0063733B">
        <w:rPr>
          <w:rFonts w:ascii="Times New Roman" w:eastAsia="Times New Roman" w:hAnsi="Times New Roman" w:cs="Times New Roman"/>
          <w:color w:val="000000"/>
          <w:kern w:val="0"/>
          <w:szCs w:val="24"/>
          <w:lang w:eastAsia="en-GB"/>
          <w14:ligatures w14:val="none"/>
        </w:rPr>
        <w:t>; </w:t>
      </w:r>
      <w:r w:rsidRPr="0063733B">
        <w:rPr>
          <w:rFonts w:ascii="Times New Roman" w:eastAsia="Times New Roman" w:hAnsi="Times New Roman" w:cs="Times New Roman"/>
          <w:i/>
          <w:iCs/>
          <w:color w:val="000000"/>
          <w:kern w:val="0"/>
          <w:szCs w:val="24"/>
          <w:lang w:eastAsia="en-GB"/>
          <w14:ligatures w14:val="none"/>
        </w:rPr>
        <w:t>pratītyasamutpāda</w:t>
      </w:r>
      <w:r w:rsidRPr="0063733B">
        <w:rPr>
          <w:rFonts w:ascii="Times New Roman" w:eastAsia="Times New Roman" w:hAnsi="Times New Roman" w:cs="Times New Roman"/>
          <w:color w:val="000000"/>
          <w:kern w:val="0"/>
          <w:szCs w:val="24"/>
          <w:lang w:eastAsia="en-GB"/>
          <w14:ligatures w14:val="none"/>
        </w:rPr>
        <w:t>; ritual somatics; performed liberation; </w:t>
      </w:r>
      <w:r w:rsidRPr="0063733B">
        <w:rPr>
          <w:rFonts w:ascii="Times New Roman" w:eastAsia="Times New Roman" w:hAnsi="Times New Roman" w:cs="Times New Roman"/>
          <w:i/>
          <w:iCs/>
          <w:color w:val="000000"/>
          <w:kern w:val="0"/>
          <w:szCs w:val="24"/>
          <w:lang w:eastAsia="en-GB"/>
          <w14:ligatures w14:val="none"/>
        </w:rPr>
        <w:t>mahāsukha</w:t>
      </w:r>
      <w:r w:rsidRPr="0063733B">
        <w:rPr>
          <w:rFonts w:ascii="Times New Roman" w:eastAsia="Times New Roman" w:hAnsi="Times New Roman" w:cs="Times New Roman"/>
          <w:color w:val="000000"/>
          <w:kern w:val="0"/>
          <w:szCs w:val="24"/>
          <w:lang w:eastAsia="en-GB"/>
          <w14:ligatures w14:val="none"/>
        </w:rPr>
        <w:t>; </w:t>
      </w:r>
      <w:r w:rsidRPr="0063733B">
        <w:rPr>
          <w:rFonts w:ascii="Times New Roman" w:eastAsia="Times New Roman" w:hAnsi="Times New Roman" w:cs="Times New Roman"/>
          <w:i/>
          <w:iCs/>
          <w:color w:val="000000"/>
          <w:kern w:val="0"/>
          <w:szCs w:val="24"/>
          <w:lang w:eastAsia="en-GB"/>
          <w14:ligatures w14:val="none"/>
        </w:rPr>
        <w:t>sahaja</w:t>
      </w:r>
      <w:r w:rsidRPr="0063733B">
        <w:rPr>
          <w:rFonts w:ascii="Times New Roman" w:eastAsia="Times New Roman" w:hAnsi="Times New Roman" w:cs="Times New Roman"/>
          <w:color w:val="000000"/>
          <w:kern w:val="0"/>
          <w:szCs w:val="24"/>
          <w:lang w:eastAsia="en-GB"/>
          <w14:ligatures w14:val="none"/>
        </w:rPr>
        <w:t>; Buddhist Tantra; embodiment; ritualization; tantric aesthetics; </w:t>
      </w:r>
      <w:r w:rsidRPr="0063733B">
        <w:rPr>
          <w:rFonts w:ascii="Times New Roman" w:eastAsia="Times New Roman" w:hAnsi="Times New Roman" w:cs="Times New Roman"/>
          <w:i/>
          <w:iCs/>
          <w:color w:val="000000"/>
          <w:kern w:val="0"/>
          <w:szCs w:val="24"/>
          <w:lang w:eastAsia="en-GB"/>
          <w14:ligatures w14:val="none"/>
        </w:rPr>
        <w:t>Caryāpada</w:t>
      </w:r>
      <w:r w:rsidRPr="0063733B">
        <w:rPr>
          <w:rFonts w:ascii="Times New Roman" w:eastAsia="Times New Roman" w:hAnsi="Times New Roman" w:cs="Times New Roman"/>
          <w:color w:val="000000"/>
          <w:kern w:val="0"/>
          <w:szCs w:val="24"/>
          <w:lang w:eastAsia="en-GB"/>
          <w14:ligatures w14:val="none"/>
        </w:rPr>
        <w:t>; contemplative dance; Vajrayāna Buddhism; Abhinavagupta; Buddhist phenomenology</w:t>
      </w:r>
    </w:p>
    <w:p w14:paraId="166A5FF9" w14:textId="77777777" w:rsidR="004B54A9" w:rsidRPr="0013210C" w:rsidRDefault="004B54A9" w:rsidP="0063733B">
      <w:pPr>
        <w:outlineLvl w:val="1"/>
        <w:rPr>
          <w:rFonts w:ascii="Times New Roman" w:eastAsia="Times New Roman" w:hAnsi="Times New Roman" w:cs="Times New Roman"/>
          <w:b/>
          <w:bCs/>
          <w:color w:val="000000"/>
          <w:kern w:val="0"/>
          <w:sz w:val="36"/>
          <w:szCs w:val="36"/>
          <w:lang w:eastAsia="en-GB"/>
          <w14:ligatures w14:val="none"/>
        </w:rPr>
      </w:pPr>
    </w:p>
    <w:p w14:paraId="19511CF8" w14:textId="5040264F" w:rsidR="0013210C" w:rsidRPr="00AF49A4" w:rsidRDefault="0013210C" w:rsidP="00AF49A4">
      <w:pPr>
        <w:outlineLvl w:val="2"/>
        <w:rPr>
          <w:rFonts w:ascii="Times New Roman" w:eastAsia="Times New Roman" w:hAnsi="Times New Roman" w:cs="Times New Roman"/>
          <w:b/>
          <w:bCs/>
          <w:color w:val="000000"/>
          <w:kern w:val="0"/>
          <w:sz w:val="28"/>
          <w:szCs w:val="28"/>
          <w:lang w:eastAsia="en-GB"/>
          <w14:ligatures w14:val="none"/>
        </w:rPr>
      </w:pPr>
      <w:r w:rsidRPr="00AF49A4">
        <w:rPr>
          <w:rFonts w:ascii="Times New Roman" w:eastAsia="Times New Roman" w:hAnsi="Times New Roman" w:cs="Times New Roman"/>
          <w:b/>
          <w:bCs/>
          <w:color w:val="000000"/>
          <w:kern w:val="0"/>
          <w:sz w:val="28"/>
          <w:szCs w:val="28"/>
          <w:lang w:eastAsia="en-GB"/>
          <w14:ligatures w14:val="none"/>
        </w:rPr>
        <w:t>Introduction: The Context of the Translation Project and the Search for an Alternative Aesthetic Paradigm</w:t>
      </w:r>
    </w:p>
    <w:p w14:paraId="57D110E9" w14:textId="13AA5E65"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xml:space="preserve"> is one of the most important scriptures of Yoginītantra Buddhism within the Vajrayāna tradition. Composed approximately between the late eighth and early tenth </w:t>
      </w:r>
      <w:r w:rsidRPr="0013210C">
        <w:rPr>
          <w:rFonts w:ascii="Times New Roman" w:eastAsia="Times New Roman" w:hAnsi="Times New Roman" w:cs="Times New Roman"/>
          <w:color w:val="000000"/>
          <w:kern w:val="0"/>
          <w:szCs w:val="24"/>
          <w:lang w:eastAsia="en-GB"/>
          <w14:ligatures w14:val="none"/>
        </w:rPr>
        <w:lastRenderedPageBreak/>
        <w:t>centuries CE, the text likely emerged within the Pāla-era cultural milieu of eastern Bengal. This essay accompanies an ongoing Bengali translation project of 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The objective of this translation project is to present Bengali-speaking readers with an authoritative document of the body-centered ritual praxis and aesthetic consciousness of the Siddhācāryas of early Bengal.</w:t>
      </w:r>
    </w:p>
    <w:p w14:paraId="0AE9AF95" w14:textId="77777777" w:rsidR="00AF49A4" w:rsidRPr="0013210C" w:rsidRDefault="00AF49A4" w:rsidP="00AF49A4">
      <w:pPr>
        <w:rPr>
          <w:rFonts w:ascii="Times New Roman" w:eastAsia="Times New Roman" w:hAnsi="Times New Roman" w:cs="Times New Roman"/>
          <w:color w:val="000000"/>
          <w:kern w:val="0"/>
          <w:szCs w:val="24"/>
          <w:lang w:eastAsia="en-GB"/>
          <w14:ligatures w14:val="none"/>
        </w:rPr>
      </w:pPr>
    </w:p>
    <w:p w14:paraId="0A82AB0A"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Although definitive historical proof concerning the precise place of composition of the </w:t>
      </w:r>
      <w:r w:rsidRPr="0013210C">
        <w:rPr>
          <w:rFonts w:ascii="Times New Roman" w:eastAsia="Times New Roman" w:hAnsi="Times New Roman" w:cs="Times New Roman"/>
          <w:i/>
          <w:iCs/>
          <w:color w:val="000000"/>
          <w:kern w:val="0"/>
          <w:szCs w:val="24"/>
          <w:lang w:eastAsia="en-GB"/>
          <w14:ligatures w14:val="none"/>
        </w:rPr>
        <w:t>Caryāpaṭala</w:t>
      </w:r>
      <w:r w:rsidRPr="0013210C">
        <w:rPr>
          <w:rFonts w:ascii="Times New Roman" w:eastAsia="Times New Roman" w:hAnsi="Times New Roman" w:cs="Times New Roman"/>
          <w:color w:val="000000"/>
          <w:kern w:val="0"/>
          <w:szCs w:val="24"/>
          <w:lang w:eastAsia="en-GB"/>
          <w14:ligatures w14:val="none"/>
        </w:rPr>
        <w:t> remains elusive, archaeological and literary evidence strongly suggests the existence of a continuous tantric performative culture in eastern Bengal during the Pāla period. Excavations at Śālban Vihāra and Koṭila Muṛā in the Mainamati-Lalmai region of Comilla have yielded terracotta plaques and inscriptions depicting scenes of dance and music. Similarly, Somapura Mahāvihāra at Paharpur—now a UNESCO World Heritage site—contains numerous tantric images and ritual artifacts. Most significantly, the </w:t>
      </w:r>
      <w:r w:rsidRPr="0013210C">
        <w:rPr>
          <w:rFonts w:ascii="Times New Roman" w:eastAsia="Times New Roman" w:hAnsi="Times New Roman" w:cs="Times New Roman"/>
          <w:i/>
          <w:iCs/>
          <w:color w:val="000000"/>
          <w:kern w:val="0"/>
          <w:szCs w:val="24"/>
          <w:lang w:eastAsia="en-GB"/>
          <w14:ligatures w14:val="none"/>
        </w:rPr>
        <w:t>Caryāpada</w:t>
      </w:r>
      <w:r w:rsidRPr="0013210C">
        <w:rPr>
          <w:rFonts w:ascii="Times New Roman" w:eastAsia="Times New Roman" w:hAnsi="Times New Roman" w:cs="Times New Roman"/>
          <w:color w:val="000000"/>
          <w:kern w:val="0"/>
          <w:szCs w:val="24"/>
          <w:lang w:eastAsia="en-GB"/>
          <w14:ligatures w14:val="none"/>
        </w:rPr>
        <w:t> (ca. tenth–twelfth centuries), the earliest extant corpus of Bengali literature composed largely by Buddhist Siddhācāryas, directly employs terms such as “dance,” “song,” “instrument,” “rasa,” and “sahaja.” The verse “Nāca nāca go biṭu hāmāri nācanaho” (</w:t>
      </w:r>
      <w:r w:rsidRPr="0013210C">
        <w:rPr>
          <w:rFonts w:ascii="Times New Roman" w:eastAsia="Times New Roman" w:hAnsi="Times New Roman" w:cs="Times New Roman"/>
          <w:i/>
          <w:iCs/>
          <w:color w:val="000000"/>
          <w:kern w:val="0"/>
          <w:szCs w:val="24"/>
          <w:lang w:eastAsia="en-GB"/>
          <w14:ligatures w14:val="none"/>
        </w:rPr>
        <w:t>Caryāpada</w:t>
      </w:r>
      <w:r w:rsidRPr="0013210C">
        <w:rPr>
          <w:rFonts w:ascii="Times New Roman" w:eastAsia="Times New Roman" w:hAnsi="Times New Roman" w:cs="Times New Roman"/>
          <w:color w:val="000000"/>
          <w:kern w:val="0"/>
          <w:szCs w:val="24"/>
          <w:lang w:eastAsia="en-GB"/>
          <w14:ligatures w14:val="none"/>
        </w:rPr>
        <w:t> 19) resonates strongly with the ritual aesthetics articulated in the </w:t>
      </w:r>
      <w:r w:rsidRPr="0013210C">
        <w:rPr>
          <w:rFonts w:ascii="Times New Roman" w:eastAsia="Times New Roman" w:hAnsi="Times New Roman" w:cs="Times New Roman"/>
          <w:i/>
          <w:iCs/>
          <w:color w:val="000000"/>
          <w:kern w:val="0"/>
          <w:szCs w:val="24"/>
          <w:lang w:eastAsia="en-GB"/>
          <w14:ligatures w14:val="none"/>
        </w:rPr>
        <w:t>Caryāpaṭala</w:t>
      </w:r>
      <w:r w:rsidRPr="0013210C">
        <w:rPr>
          <w:rFonts w:ascii="Times New Roman" w:eastAsia="Times New Roman" w:hAnsi="Times New Roman" w:cs="Times New Roman"/>
          <w:color w:val="000000"/>
          <w:kern w:val="0"/>
          <w:szCs w:val="24"/>
          <w:lang w:eastAsia="en-GB"/>
          <w14:ligatures w14:val="none"/>
        </w:rPr>
        <w:t>, suggesting the existence of a performative mode of awakening in eastern Bengal (Dāśgupta 1946; Sāṅkṛtyāyana 1949).</w:t>
      </w:r>
    </w:p>
    <w:p w14:paraId="5075B66C" w14:textId="77777777" w:rsidR="00AF49A4" w:rsidRPr="0013210C" w:rsidRDefault="00AF49A4" w:rsidP="00AF49A4">
      <w:pPr>
        <w:rPr>
          <w:rFonts w:ascii="Times New Roman" w:eastAsia="Times New Roman" w:hAnsi="Times New Roman" w:cs="Times New Roman"/>
          <w:color w:val="000000"/>
          <w:kern w:val="0"/>
          <w:szCs w:val="24"/>
          <w:lang w:eastAsia="en-GB"/>
          <w14:ligatures w14:val="none"/>
        </w:rPr>
      </w:pPr>
    </w:p>
    <w:p w14:paraId="51E863CA"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Within South Asian aesthetic discourse, Bharata’s </w:t>
      </w:r>
      <w:r w:rsidRPr="0013210C">
        <w:rPr>
          <w:rFonts w:ascii="Times New Roman" w:eastAsia="Times New Roman" w:hAnsi="Times New Roman" w:cs="Times New Roman"/>
          <w:i/>
          <w:iCs/>
          <w:color w:val="000000"/>
          <w:kern w:val="0"/>
          <w:szCs w:val="24"/>
          <w:lang w:eastAsia="en-GB"/>
          <w14:ligatures w14:val="none"/>
        </w:rPr>
        <w:t>Nāṭyaśāstra</w:t>
      </w:r>
      <w:r w:rsidRPr="0013210C">
        <w:rPr>
          <w:rFonts w:ascii="Times New Roman" w:eastAsia="Times New Roman" w:hAnsi="Times New Roman" w:cs="Times New Roman"/>
          <w:color w:val="000000"/>
          <w:kern w:val="0"/>
          <w:szCs w:val="24"/>
          <w:lang w:eastAsia="en-GB"/>
          <w14:ligatures w14:val="none"/>
        </w:rPr>
        <w:t> has exercised an almost unrivaled authority. In such a context, it is unsurprising that alternative aesthetic paradigms remained marginal. Yet 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preserves reflections that radically reconsider embodied knowledge and ritual movement. It is important to clarify, however, that although this essay employs the phrase “performance aesthetics,” the dance and song described in 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are not theatrical performances intended for spectators. Rather, they constitute what may more appropriately be called </w:t>
      </w:r>
      <w:r w:rsidRPr="0013210C">
        <w:rPr>
          <w:rFonts w:ascii="Times New Roman" w:eastAsia="Times New Roman" w:hAnsi="Times New Roman" w:cs="Times New Roman"/>
          <w:i/>
          <w:iCs/>
          <w:color w:val="000000"/>
          <w:kern w:val="0"/>
          <w:szCs w:val="24"/>
          <w:lang w:eastAsia="en-GB"/>
          <w14:ligatures w14:val="none"/>
        </w:rPr>
        <w:t>ritual somatics</w:t>
      </w:r>
      <w:r w:rsidRPr="0013210C">
        <w:rPr>
          <w:rFonts w:ascii="Times New Roman" w:eastAsia="Times New Roman" w:hAnsi="Times New Roman" w:cs="Times New Roman"/>
          <w:color w:val="000000"/>
          <w:kern w:val="0"/>
          <w:szCs w:val="24"/>
          <w:lang w:eastAsia="en-GB"/>
          <w14:ligatures w14:val="none"/>
        </w:rPr>
        <w:t>—an embodied ritual technology of transformation.</w:t>
      </w:r>
    </w:p>
    <w:p w14:paraId="2368224F" w14:textId="77777777" w:rsidR="00AF49A4" w:rsidRPr="0013210C" w:rsidRDefault="00AF49A4" w:rsidP="00AF49A4">
      <w:pPr>
        <w:rPr>
          <w:rFonts w:ascii="Times New Roman" w:eastAsia="Times New Roman" w:hAnsi="Times New Roman" w:cs="Times New Roman"/>
          <w:color w:val="000000"/>
          <w:kern w:val="0"/>
          <w:szCs w:val="24"/>
          <w:lang w:eastAsia="en-GB"/>
          <w14:ligatures w14:val="none"/>
        </w:rPr>
      </w:pPr>
    </w:p>
    <w:p w14:paraId="5B492F52"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Classical aesthetics presupposes the presence of a spectator or </w:t>
      </w:r>
      <w:r w:rsidRPr="0013210C">
        <w:rPr>
          <w:rFonts w:ascii="Times New Roman" w:eastAsia="Times New Roman" w:hAnsi="Times New Roman" w:cs="Times New Roman"/>
          <w:i/>
          <w:iCs/>
          <w:color w:val="000000"/>
          <w:kern w:val="0"/>
          <w:szCs w:val="24"/>
          <w:lang w:eastAsia="en-GB"/>
          <w14:ligatures w14:val="none"/>
        </w:rPr>
        <w:t>sahṛdaya</w:t>
      </w:r>
      <w:r w:rsidRPr="0013210C">
        <w:rPr>
          <w:rFonts w:ascii="Times New Roman" w:eastAsia="Times New Roman" w:hAnsi="Times New Roman" w:cs="Times New Roman"/>
          <w:color w:val="000000"/>
          <w:kern w:val="0"/>
          <w:szCs w:val="24"/>
          <w:lang w:eastAsia="en-GB"/>
          <w14:ligatures w14:val="none"/>
        </w:rPr>
        <w:t> (“sensitive participant”), whereas tantric ritual praxis frequently unfolds within esoteric and initiatory contexts devoid of public spectatorship. Consequently, the term “aesthetics” is employed here only in relation to the meaning and experience of bodily movement, marking a conscious departure from conventional aesthetic frameworks.</w:t>
      </w:r>
    </w:p>
    <w:p w14:paraId="0A26CE24" w14:textId="77777777" w:rsidR="00A96FB6" w:rsidRDefault="00A96FB6" w:rsidP="00AF49A4">
      <w:pPr>
        <w:rPr>
          <w:rFonts w:ascii="Times New Roman" w:eastAsia="Times New Roman" w:hAnsi="Times New Roman" w:cs="Times New Roman"/>
          <w:color w:val="000000"/>
          <w:kern w:val="0"/>
          <w:szCs w:val="24"/>
          <w:lang w:eastAsia="en-GB"/>
          <w14:ligatures w14:val="none"/>
        </w:rPr>
      </w:pPr>
    </w:p>
    <w:p w14:paraId="183895A8" w14:textId="77777777" w:rsidR="00A96FB6" w:rsidRPr="003B6BC0" w:rsidRDefault="00A96FB6" w:rsidP="00A96FB6">
      <w:pPr>
        <w:outlineLvl w:val="1"/>
        <w:rPr>
          <w:rFonts w:ascii="Times New Roman" w:eastAsia="Times New Roman" w:hAnsi="Times New Roman" w:cs="Times New Roman"/>
          <w:b/>
          <w:bCs/>
          <w:color w:val="000000"/>
          <w:kern w:val="0"/>
          <w:szCs w:val="24"/>
          <w:lang w:eastAsia="en-GB"/>
          <w14:ligatures w14:val="none"/>
        </w:rPr>
      </w:pPr>
      <w:r w:rsidRPr="003B6BC0">
        <w:rPr>
          <w:rFonts w:ascii="Times New Roman" w:eastAsia="Times New Roman" w:hAnsi="Times New Roman" w:cs="Times New Roman"/>
          <w:b/>
          <w:bCs/>
          <w:color w:val="000000"/>
          <w:kern w:val="0"/>
          <w:szCs w:val="24"/>
          <w:lang w:eastAsia="en-GB"/>
          <w14:ligatures w14:val="none"/>
        </w:rPr>
        <w:t>Pāla Bengal as a Tantric Buddhist Cultural Field: Monasteries, Performative Practice, Literature, Art, and Manuscript Culture</w:t>
      </w:r>
    </w:p>
    <w:p w14:paraId="4DD2192F"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The argument that the </w:t>
      </w:r>
      <w:r w:rsidRPr="003B6BC0">
        <w:rPr>
          <w:rFonts w:ascii="Times New Roman" w:eastAsia="Times New Roman" w:hAnsi="Times New Roman" w:cs="Times New Roman"/>
          <w:i/>
          <w:iCs/>
          <w:color w:val="000000"/>
          <w:kern w:val="0"/>
          <w:szCs w:val="24"/>
          <w:lang w:eastAsia="en-GB"/>
          <w14:ligatures w14:val="none"/>
        </w:rPr>
        <w:t>Caryāpaṭala</w:t>
      </w:r>
      <w:r w:rsidRPr="003B6BC0">
        <w:rPr>
          <w:rFonts w:ascii="Times New Roman" w:eastAsia="Times New Roman" w:hAnsi="Times New Roman" w:cs="Times New Roman"/>
          <w:color w:val="000000"/>
          <w:kern w:val="0"/>
          <w:szCs w:val="24"/>
          <w:lang w:eastAsia="en-GB"/>
          <w14:ligatures w14:val="none"/>
        </w:rPr>
        <w:t> of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preserves a form of embodied ritual praxis becomes more historically persuasive when situated within the cultural ecology of Pāla-period Bengal and eastern India. The Pāla era was not merely a background for Buddhist scholasticism; it was a dense ritual, artistic, architectural, and manuscript-producing world in which monastic institutions, tantric ritual technologies, vernacular songs, image-making, and transregional networks interacted dynamically.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should therefore be read not as an isolated esoteric scripture, but as part of a broader world of Buddhist cultural practice in which body, sound, visualization, and ritualized movement formed part of the lived religious field.</w:t>
      </w:r>
    </w:p>
    <w:p w14:paraId="101D0109"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43BD6B65"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 xml:space="preserve">The great monastic complexes of eastern India and Bengal were central to this world. Somapura Mahāvihāra at Paharpur, associated in epigraphic evidence with the Pāla ruler Dharmapāla, was one of the most important Buddhist institutions of ancient Bengal. Clay </w:t>
      </w:r>
      <w:r w:rsidRPr="003B6BC0">
        <w:rPr>
          <w:rFonts w:ascii="Times New Roman" w:eastAsia="Times New Roman" w:hAnsi="Times New Roman" w:cs="Times New Roman"/>
          <w:color w:val="000000"/>
          <w:kern w:val="0"/>
          <w:szCs w:val="24"/>
          <w:lang w:eastAsia="en-GB"/>
          <w14:ligatures w14:val="none"/>
        </w:rPr>
        <w:lastRenderedPageBreak/>
        <w:t xml:space="preserve">seals from the site refer to the monastic community of Śrī-Somapura Mahāvihāra, while Tibetan sources also remembered the monastery within the wider Buddhist geography of the Pāla world. The excavated plan, with its monumental central shrine and surrounding monastic cells, indicates not only residence and scholastic activity but also ritual circulation, image worship, and embodied movement through architectural space. UNESCO’s description of Paharpur emphasizes the cruciform shrine, circumambulatory terraces, chapels, and bands of terracotta plaques that once ran around the shrine’s perimeter, suggesting that movement around the sacred architecture was central to its ritual experience (UNESCO 1985). </w:t>
      </w:r>
    </w:p>
    <w:p w14:paraId="54CDD336"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772CB06E"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Banglapedia further records that Somapura’s walls were decorated with more than two thousand terracotta plaques, many still preserved in situ, presenting human figures, animals, deities, musicians, dancers, and scenes of everyday life (Banglapedia 2021a). These visual programs do not prove the specific performance of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at Somapura, but they do establish that Pāla Buddhist monastic space was not a silent scholastic enclosure: it was visually saturated, ritually navigable, and culturally porous.</w:t>
      </w:r>
    </w:p>
    <w:p w14:paraId="087968CC"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34B5FEC0"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The archaeological sites of Mainamati-Lalmai in southeastern Bengal provide a complementary body of evidence. Śālban Vihāra and related monastic remains reveal a Buddhist institutional world in which ritual architecture, terracotta ornament, bronze images, and monastic cells coexisted. UNESCO’s tentative listing for the Lalmai-Mainamati sites notes terracotta plaques, pottery, and other excavated objects dating several phases of occupation between the tenth and twelfth centuries (UNESCO 2024). Archaeological reports on Śālban Vihāra identify a courtyard monastery with more than one hundred cells, a central shrine, and decorative terracotta plaques, as well as important Vajrayāna images such as Vajrasattva, Amitābha, and Akṣobhya. This material culture suggests a ritual environment in which tantric Buddhist iconography, monastic residence, and embodied devotional practice were mutually implicated. The relevance for the present argument lies not in claiming direct textual evidence for dance at Mainamati, but in recognizing that the visual and spatial culture of these monasteries supported forms of circumambulation, gesture, recitation, visualization, and ritual embodiment.</w:t>
      </w:r>
    </w:p>
    <w:p w14:paraId="44FADEC5"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67410F4B"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This archaeological record should be read alongside the literary evidence of the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or </w:t>
      </w:r>
      <w:r w:rsidRPr="003B6BC0">
        <w:rPr>
          <w:rFonts w:ascii="Times New Roman" w:eastAsia="Times New Roman" w:hAnsi="Times New Roman" w:cs="Times New Roman"/>
          <w:i/>
          <w:iCs/>
          <w:color w:val="000000"/>
          <w:kern w:val="0"/>
          <w:szCs w:val="24"/>
          <w:lang w:eastAsia="en-GB"/>
          <w14:ligatures w14:val="none"/>
        </w:rPr>
        <w:t>Caryāgīti</w:t>
      </w:r>
      <w:r w:rsidRPr="003B6BC0">
        <w:rPr>
          <w:rFonts w:ascii="Times New Roman" w:eastAsia="Times New Roman" w:hAnsi="Times New Roman" w:cs="Times New Roman"/>
          <w:color w:val="000000"/>
          <w:kern w:val="0"/>
          <w:szCs w:val="24"/>
          <w:lang w:eastAsia="en-GB"/>
          <w14:ligatures w14:val="none"/>
        </w:rPr>
        <w:t>, the earliest surviving corpus of Bengali-related vernacular Buddhist songs. Banglapedia describes the </w:t>
      </w:r>
      <w:r w:rsidRPr="003B6BC0">
        <w:rPr>
          <w:rFonts w:ascii="Times New Roman" w:eastAsia="Times New Roman" w:hAnsi="Times New Roman" w:cs="Times New Roman"/>
          <w:i/>
          <w:iCs/>
          <w:color w:val="000000"/>
          <w:kern w:val="0"/>
          <w:szCs w:val="24"/>
          <w:lang w:eastAsia="en-GB"/>
          <w14:ligatures w14:val="none"/>
        </w:rPr>
        <w:t>caryāgīti</w:t>
      </w:r>
      <w:r w:rsidRPr="003B6BC0">
        <w:rPr>
          <w:rFonts w:ascii="Times New Roman" w:eastAsia="Times New Roman" w:hAnsi="Times New Roman" w:cs="Times New Roman"/>
          <w:color w:val="000000"/>
          <w:kern w:val="0"/>
          <w:szCs w:val="24"/>
          <w:lang w:eastAsia="en-GB"/>
          <w14:ligatures w14:val="none"/>
        </w:rPr>
        <w:t> as devotional songs of Buddhist Sahajiyās that spread in Bengal during the Pāla period; it further notes that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refers to the poems as literature, while </w:t>
      </w:r>
      <w:r w:rsidRPr="003B6BC0">
        <w:rPr>
          <w:rFonts w:ascii="Times New Roman" w:eastAsia="Times New Roman" w:hAnsi="Times New Roman" w:cs="Times New Roman"/>
          <w:i/>
          <w:iCs/>
          <w:color w:val="000000"/>
          <w:kern w:val="0"/>
          <w:szCs w:val="24"/>
          <w:lang w:eastAsia="en-GB"/>
          <w14:ligatures w14:val="none"/>
        </w:rPr>
        <w:t>caryāgīti</w:t>
      </w:r>
      <w:r w:rsidRPr="003B6BC0">
        <w:rPr>
          <w:rFonts w:ascii="Times New Roman" w:eastAsia="Times New Roman" w:hAnsi="Times New Roman" w:cs="Times New Roman"/>
          <w:color w:val="000000"/>
          <w:kern w:val="0"/>
          <w:szCs w:val="24"/>
          <w:lang w:eastAsia="en-GB"/>
          <w14:ligatures w14:val="none"/>
        </w:rPr>
        <w:t> emphasizes their existence as song. The same source observes that the </w:t>
      </w:r>
      <w:r w:rsidRPr="003B6BC0">
        <w:rPr>
          <w:rFonts w:ascii="Times New Roman" w:eastAsia="Times New Roman" w:hAnsi="Times New Roman" w:cs="Times New Roman"/>
          <w:i/>
          <w:iCs/>
          <w:color w:val="000000"/>
          <w:kern w:val="0"/>
          <w:szCs w:val="24"/>
          <w:lang w:eastAsia="en-GB"/>
          <w14:ligatures w14:val="none"/>
        </w:rPr>
        <w:t>caryās</w:t>
      </w:r>
      <w:r w:rsidRPr="003B6BC0">
        <w:rPr>
          <w:rFonts w:ascii="Times New Roman" w:eastAsia="Times New Roman" w:hAnsi="Times New Roman" w:cs="Times New Roman"/>
          <w:color w:val="000000"/>
          <w:kern w:val="0"/>
          <w:szCs w:val="24"/>
          <w:lang w:eastAsia="en-GB"/>
          <w14:ligatures w14:val="none"/>
        </w:rPr>
        <w:t> are rhythmic, metaphorical, and composed in </w:t>
      </w:r>
      <w:r w:rsidRPr="003B6BC0">
        <w:rPr>
          <w:rFonts w:ascii="Times New Roman" w:eastAsia="Times New Roman" w:hAnsi="Times New Roman" w:cs="Times New Roman"/>
          <w:i/>
          <w:iCs/>
          <w:color w:val="000000"/>
          <w:kern w:val="0"/>
          <w:szCs w:val="24"/>
          <w:lang w:eastAsia="en-GB"/>
          <w14:ligatures w14:val="none"/>
        </w:rPr>
        <w:t>sandhyābhāṣā</w:t>
      </w:r>
      <w:r w:rsidRPr="003B6BC0">
        <w:rPr>
          <w:rFonts w:ascii="Times New Roman" w:eastAsia="Times New Roman" w:hAnsi="Times New Roman" w:cs="Times New Roman"/>
          <w:color w:val="000000"/>
          <w:kern w:val="0"/>
          <w:szCs w:val="24"/>
          <w:lang w:eastAsia="en-GB"/>
          <w14:ligatures w14:val="none"/>
        </w:rPr>
        <w:t>, or twilight language (Banglapedia 2021b). This distinction is crucial: the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is not merely a textual archive but evidence of sung, rhythmically structured, esoteric instruction. Its language of boats, women, hunters, yogins, bodily processes, desire, and non-duality suggests a performative pedagogy in which doctrine was encoded in song and transmitted through affective, memorable, and embodied forms.</w:t>
      </w:r>
    </w:p>
    <w:p w14:paraId="45F4A762"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55C62D19"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 xml:space="preserve">The lives of the Siddhācāryas also reinforce this point. Figures such as Saraha, Kānhapāda/Kṛṣṇācārya, Luipa, Śavaripa, and others circulated in literary memory as poet-practitioners who crossed the boundaries between monastery, cremation ground, court, marketplace, and vernacular community. Ronald Davidson’s social history of Indian Esoteric Buddhism is especially useful here because it locates the emergence of Buddhist Tantra within the institutional and political transformations of early medieval India. Davidson argues that tantric Buddhism developed within a complex social field marked by royal patronage, </w:t>
      </w:r>
      <w:r w:rsidRPr="003B6BC0">
        <w:rPr>
          <w:rFonts w:ascii="Times New Roman" w:eastAsia="Times New Roman" w:hAnsi="Times New Roman" w:cs="Times New Roman"/>
          <w:color w:val="000000"/>
          <w:kern w:val="0"/>
          <w:szCs w:val="24"/>
          <w:lang w:eastAsia="en-GB"/>
          <w14:ligatures w14:val="none"/>
        </w:rPr>
        <w:lastRenderedPageBreak/>
        <w:t>monastic institutions, ritual specialists, and changing forms of authority, rather than simply as a marginal or anti-monastic phenomenon (Davidson 2002). This reading helps place the </w:t>
      </w:r>
      <w:r w:rsidRPr="003B6BC0">
        <w:rPr>
          <w:rFonts w:ascii="Times New Roman" w:eastAsia="Times New Roman" w:hAnsi="Times New Roman" w:cs="Times New Roman"/>
          <w:i/>
          <w:iCs/>
          <w:color w:val="000000"/>
          <w:kern w:val="0"/>
          <w:szCs w:val="24"/>
          <w:lang w:eastAsia="en-GB"/>
          <w14:ligatures w14:val="none"/>
        </w:rPr>
        <w:t>Caryāpaṭala</w:t>
      </w:r>
      <w:r w:rsidRPr="003B6BC0">
        <w:rPr>
          <w:rFonts w:ascii="Times New Roman" w:eastAsia="Times New Roman" w:hAnsi="Times New Roman" w:cs="Times New Roman"/>
          <w:color w:val="000000"/>
          <w:kern w:val="0"/>
          <w:szCs w:val="24"/>
          <w:lang w:eastAsia="en-GB"/>
          <w14:ligatures w14:val="none"/>
        </w:rPr>
        <w:t>within a historical world where monastic Buddhism and tantric ritual were not necessarily opposed; the monastery could serve as a site of scholastic learning, ritual consecration, image production, mantra practice, and esoteric transmission.</w:t>
      </w:r>
    </w:p>
    <w:p w14:paraId="2EBCF166"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21859D50"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Christian Wedemeyer’s work is equally important for avoiding simplistic interpretations of Tantra as either antinomian excess or purely symbolic doctrine. In </w:t>
      </w:r>
      <w:r w:rsidRPr="003B6BC0">
        <w:rPr>
          <w:rFonts w:ascii="Times New Roman" w:eastAsia="Times New Roman" w:hAnsi="Times New Roman" w:cs="Times New Roman"/>
          <w:i/>
          <w:iCs/>
          <w:color w:val="000000"/>
          <w:kern w:val="0"/>
          <w:szCs w:val="24"/>
          <w:lang w:eastAsia="en-GB"/>
          <w14:ligatures w14:val="none"/>
        </w:rPr>
        <w:t>Making Sense of Tantric Buddhism</w:t>
      </w:r>
      <w:r w:rsidRPr="003B6BC0">
        <w:rPr>
          <w:rFonts w:ascii="Times New Roman" w:eastAsia="Times New Roman" w:hAnsi="Times New Roman" w:cs="Times New Roman"/>
          <w:color w:val="000000"/>
          <w:kern w:val="0"/>
          <w:szCs w:val="24"/>
          <w:lang w:eastAsia="en-GB"/>
          <w14:ligatures w14:val="none"/>
        </w:rPr>
        <w:t>, Wedemeyer stresses that tantric texts often operate through deliberate ambiguity, ritual coding, and contested modes of interpretation. This is particularly relevant to the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and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where erotic, somatic, and transgressive language may function simultaneously at literal, symbolic, ritual, and contemplative levels (Wedemeyer 2013). For the present essay, Wedemeyer’s approach supports a cautious reading of dance and song: they should not be reduced either to ordinary performance or to abstract metaphor. They are ritual technologies whose meanings depend on initiation, context, and embodied practice.</w:t>
      </w:r>
    </w:p>
    <w:p w14:paraId="1DF0D5F0"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3B4C23CA"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Alexis Sanderson’s scholarship further complicates the historical picture by showing that Buddhist Tantra developed in intense interaction with Śaiva and Śākta tantric traditions. In “The Śaiva Age,” Sanderson argues that the early medieval religious landscape was deeply shaped by the rise of Śaiva ritual systems and their relationship to political authority, temple networks, and tantric forms of practice (Sanderson 2009). His work on the “tantric rebirth” of Indian Buddhism under Śākta-Śaiva influence argues that Buddhist tantric systems absorbed and adapted ritual methods, yogic physiology, and post-initiatory ascetic practices from Śaiva contexts (Sanderson 2015). This does not diminish the Buddhist character of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xml:space="preserve">. Rather, it helps explain why its ritual world includes mantra, deity visualization, transgressive symbolism, yoginī imagery, and embodied transformation. Pāla </w:t>
      </w:r>
    </w:p>
    <w:p w14:paraId="7305E0C9"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438D6825"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Bengal should therefore be seen not as an isolated Buddhist enclave but as part of a wider tantric ecumene in which Buddhist, Śaiva, Śākta, and vernacular currents interacted.</w:t>
      </w:r>
    </w:p>
    <w:p w14:paraId="22E1274A"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Miranda Shaw’s scholarship on women, yoginīs, and Buddhist goddesses offers another necessary dimension. Her work highlights the centrality of feminine divinities, female adepts, ḍākinīs, yoginīs, and gendered ritual power in Indian Buddhist Tantra. This is particularly important for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a Yoginītantra in which </w:t>
      </w:r>
      <w:r w:rsidRPr="003B6BC0">
        <w:rPr>
          <w:rFonts w:ascii="Times New Roman" w:eastAsia="Times New Roman" w:hAnsi="Times New Roman" w:cs="Times New Roman"/>
          <w:i/>
          <w:iCs/>
          <w:color w:val="000000"/>
          <w:kern w:val="0"/>
          <w:szCs w:val="24"/>
          <w:lang w:eastAsia="en-GB"/>
          <w14:ligatures w14:val="none"/>
        </w:rPr>
        <w:t>mahāsukha</w:t>
      </w:r>
      <w:r w:rsidRPr="003B6BC0">
        <w:rPr>
          <w:rFonts w:ascii="Times New Roman" w:eastAsia="Times New Roman" w:hAnsi="Times New Roman" w:cs="Times New Roman"/>
          <w:color w:val="000000"/>
          <w:kern w:val="0"/>
          <w:szCs w:val="24"/>
          <w:lang w:eastAsia="en-GB"/>
          <w14:ligatures w14:val="none"/>
        </w:rPr>
        <w:t xml:space="preserve">, embodied realization, and esoteric ritual agency cannot be fully understood without attention to gendered embodiment (Shaw 1994; Shaw 2006). </w:t>
      </w:r>
    </w:p>
    <w:p w14:paraId="32ACFF2D"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31C62B27"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The Pāla-period visual record—rich in images of Tārā, Prajñāpāramitā, Vajrayoginī-related forms, and other female divinities—should therefore be read alongside the literary world of the Siddhas. The presence of female deities and yoginī symbolism suggests that tantric embodiment was not merely a male yogic discipline but a field structured by feminine agency, polarity, and sacred power.</w:t>
      </w:r>
    </w:p>
    <w:p w14:paraId="1A724DCA"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2E1EF0F6"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 xml:space="preserve">Geoffrey Samuel’s broader history of yoga and tantra also helps situate Pāla Bengal within long-term developments in Indic religious practice. Samuel emphasizes that the history of yoga and tantra cannot be reduced to doctrinal systems alone; it must be understood through practices of mental and physical cultivation aimed at liberating insight (Samuel 2008). This framework aligns closely with the present essay’s concept of “ritual somatics.” In the Pāla Buddhist context, tantric practice involved not only text and doctrine but also image, sound, bodily discipline, visualization, pilgrimage, initiation, and ritual performance. Dance and </w:t>
      </w:r>
      <w:r w:rsidRPr="003B6BC0">
        <w:rPr>
          <w:rFonts w:ascii="Times New Roman" w:eastAsia="Times New Roman" w:hAnsi="Times New Roman" w:cs="Times New Roman"/>
          <w:color w:val="000000"/>
          <w:kern w:val="0"/>
          <w:szCs w:val="24"/>
          <w:lang w:eastAsia="en-GB"/>
          <w14:ligatures w14:val="none"/>
        </w:rPr>
        <w:lastRenderedPageBreak/>
        <w:t>song in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may thus be understood as part of this wider Indic history of embodied cultivation.</w:t>
      </w:r>
    </w:p>
    <w:p w14:paraId="740ED825"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7886E7EB"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David Gordon White’s work, especially </w:t>
      </w:r>
      <w:r w:rsidRPr="003B6BC0">
        <w:rPr>
          <w:rFonts w:ascii="Times New Roman" w:eastAsia="Times New Roman" w:hAnsi="Times New Roman" w:cs="Times New Roman"/>
          <w:i/>
          <w:iCs/>
          <w:color w:val="000000"/>
          <w:kern w:val="0"/>
          <w:szCs w:val="24"/>
          <w:lang w:eastAsia="en-GB"/>
          <w14:ligatures w14:val="none"/>
        </w:rPr>
        <w:t>Kiss of the Yoginī</w:t>
      </w:r>
      <w:r w:rsidRPr="003B6BC0">
        <w:rPr>
          <w:rFonts w:ascii="Times New Roman" w:eastAsia="Times New Roman" w:hAnsi="Times New Roman" w:cs="Times New Roman"/>
          <w:color w:val="000000"/>
          <w:kern w:val="0"/>
          <w:szCs w:val="24"/>
          <w:lang w:eastAsia="en-GB"/>
          <w14:ligatures w14:val="none"/>
        </w:rPr>
        <w:t>, is valuable because it foregrounds the ritual centrality of yoginīs, sexualized symbolism, bodily substances, and transgressive ritual exchange in medieval South Asian Tantra (White 2003). While White’s emphasis on sexualized ritual practice must be used carefully in relation to Buddhist materials, his work draws attention to the embodied and often unsettling nature of tantric practice. For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this means that dance and song should not be sanitized into purely aesthetic or devotional expression. They belong to a ritual world in which the body is deliberately intensified, destabilized, and transformed.</w:t>
      </w:r>
    </w:p>
    <w:p w14:paraId="6A7C1289"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p>
    <w:p w14:paraId="34E00ED3"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Manuscript culture provides another crucial historical layer. The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survives through manuscript transmission connected to Nepal, where Haraprasad Shastri famously discovered the palm-leaf manuscript that was later published as </w:t>
      </w:r>
      <w:r w:rsidRPr="003B6BC0">
        <w:rPr>
          <w:rFonts w:ascii="Times New Roman" w:eastAsia="Times New Roman" w:hAnsi="Times New Roman" w:cs="Times New Roman"/>
          <w:i/>
          <w:iCs/>
          <w:color w:val="000000"/>
          <w:kern w:val="0"/>
          <w:szCs w:val="24"/>
          <w:lang w:eastAsia="en-GB"/>
          <w14:ligatures w14:val="none"/>
        </w:rPr>
        <w:t>Hajar Bacharer Purana Bangala Bhasay Bauddhagan O Doha</w:t>
      </w:r>
      <w:r w:rsidRPr="003B6BC0">
        <w:rPr>
          <w:rFonts w:ascii="Times New Roman" w:eastAsia="Times New Roman" w:hAnsi="Times New Roman" w:cs="Times New Roman"/>
          <w:color w:val="000000"/>
          <w:kern w:val="0"/>
          <w:szCs w:val="24"/>
          <w:lang w:eastAsia="en-GB"/>
          <w14:ligatures w14:val="none"/>
        </w:rPr>
        <w:t>. This history matters because it demonstrates the transregional circulation of Bengali Buddhist esoteric songs across eastern India, Bengal, Nepal, and Tibet. Pāla manuscript culture was not only textual but visual: illustrated palm-leaf manuscripts of Buddhist scriptures, often associated with eastern India and Nepal, preserve a world of miniature painting, deity visualization, and ritual use. The manuscript was not simply a container of doctrine; it was a ritual object, a visual field, and a medium of transmission.</w:t>
      </w:r>
    </w:p>
    <w:p w14:paraId="12A59490"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75411EF8"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Taken together, the archaeological, literary, art-historical, and manuscript evidence strengthens the claim that the </w:t>
      </w:r>
      <w:r w:rsidRPr="003B6BC0">
        <w:rPr>
          <w:rFonts w:ascii="Times New Roman" w:eastAsia="Times New Roman" w:hAnsi="Times New Roman" w:cs="Times New Roman"/>
          <w:i/>
          <w:iCs/>
          <w:color w:val="000000"/>
          <w:kern w:val="0"/>
          <w:szCs w:val="24"/>
          <w:lang w:eastAsia="en-GB"/>
          <w14:ligatures w14:val="none"/>
        </w:rPr>
        <w:t>Caryāpaṭala</w:t>
      </w:r>
      <w:r w:rsidRPr="003B6BC0">
        <w:rPr>
          <w:rFonts w:ascii="Times New Roman" w:eastAsia="Times New Roman" w:hAnsi="Times New Roman" w:cs="Times New Roman"/>
          <w:color w:val="000000"/>
          <w:kern w:val="0"/>
          <w:szCs w:val="24"/>
          <w:lang w:eastAsia="en-GB"/>
          <w14:ligatures w14:val="none"/>
        </w:rPr>
        <w:t> emerged from a culture in which embodied practice was central. Somapura and Mainamati reveal monumental Buddhist spaces decorated with visual narratives and tantric imagery. The </w:t>
      </w:r>
      <w:r w:rsidRPr="003B6BC0">
        <w:rPr>
          <w:rFonts w:ascii="Times New Roman" w:eastAsia="Times New Roman" w:hAnsi="Times New Roman" w:cs="Times New Roman"/>
          <w:i/>
          <w:iCs/>
          <w:color w:val="000000"/>
          <w:kern w:val="0"/>
          <w:szCs w:val="24"/>
          <w:lang w:eastAsia="en-GB"/>
          <w14:ligatures w14:val="none"/>
        </w:rPr>
        <w:t>Caryāpada</w:t>
      </w:r>
      <w:r w:rsidRPr="003B6BC0">
        <w:rPr>
          <w:rFonts w:ascii="Times New Roman" w:eastAsia="Times New Roman" w:hAnsi="Times New Roman" w:cs="Times New Roman"/>
          <w:color w:val="000000"/>
          <w:kern w:val="0"/>
          <w:szCs w:val="24"/>
          <w:lang w:eastAsia="en-GB"/>
          <w14:ligatures w14:val="none"/>
        </w:rPr>
        <w:t> preserves songs of esoteric realization in vernacular poetic form. The Siddhācāryas embody a cultural memory of poet-yogins whose practice moved across institutional and non-institutional spaces. Scholars such as Davidson, Wedemeyer, Sanderson, Shaw, Samuel, and White help frame this world not as a marginal aberration but as a major formation within early medieval South Asian religion.</w:t>
      </w:r>
    </w:p>
    <w:p w14:paraId="5E4DF4F2"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The historical conclusion, therefore, must be precise. We cannot claim that the specific verses of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 were danced at Somapura or Mainamati without direct evidence. But we can argue that Pāla Bengal and its surrounding tantric Buddhist world supplied the institutional, artistic, literary, and ritual conditions within which such a text could become intelligible. The </w:t>
      </w:r>
      <w:r w:rsidRPr="003B6BC0">
        <w:rPr>
          <w:rFonts w:ascii="Times New Roman" w:eastAsia="Times New Roman" w:hAnsi="Times New Roman" w:cs="Times New Roman"/>
          <w:i/>
          <w:iCs/>
          <w:color w:val="000000"/>
          <w:kern w:val="0"/>
          <w:szCs w:val="24"/>
          <w:lang w:eastAsia="en-GB"/>
          <w14:ligatures w14:val="none"/>
        </w:rPr>
        <w:t>Hevajratantra</w:t>
      </w:r>
      <w:r w:rsidRPr="003B6BC0">
        <w:rPr>
          <w:rFonts w:ascii="Times New Roman" w:eastAsia="Times New Roman" w:hAnsi="Times New Roman" w:cs="Times New Roman"/>
          <w:color w:val="000000"/>
          <w:kern w:val="0"/>
          <w:szCs w:val="24"/>
          <w:lang w:eastAsia="en-GB"/>
          <w14:ligatures w14:val="none"/>
        </w:rPr>
        <w:t>’s claim that song and dance may function as </w:t>
      </w:r>
      <w:r w:rsidRPr="003B6BC0">
        <w:rPr>
          <w:rFonts w:ascii="Times New Roman" w:eastAsia="Times New Roman" w:hAnsi="Times New Roman" w:cs="Times New Roman"/>
          <w:i/>
          <w:iCs/>
          <w:color w:val="000000"/>
          <w:kern w:val="0"/>
          <w:szCs w:val="24"/>
          <w:lang w:eastAsia="en-GB"/>
          <w14:ligatures w14:val="none"/>
        </w:rPr>
        <w:t>bhāvanā</w:t>
      </w:r>
      <w:r w:rsidRPr="003B6BC0">
        <w:rPr>
          <w:rFonts w:ascii="Times New Roman" w:eastAsia="Times New Roman" w:hAnsi="Times New Roman" w:cs="Times New Roman"/>
          <w:color w:val="000000"/>
          <w:kern w:val="0"/>
          <w:szCs w:val="24"/>
          <w:lang w:eastAsia="en-GB"/>
          <w14:ligatures w14:val="none"/>
        </w:rPr>
        <w:t> is not an isolated oddity. It belongs to a broader cultural field in which monastery, manuscript, image, song, gesture, and body formed an integrated technology of awakening.</w:t>
      </w:r>
    </w:p>
    <w:p w14:paraId="3392890F"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6ADA26B8" w14:textId="77777777" w:rsidR="00A96FB6" w:rsidRPr="00662B7F" w:rsidRDefault="00A96FB6" w:rsidP="00A96FB6">
      <w:pPr>
        <w:outlineLvl w:val="1"/>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Methodological Orientation: Text, Ritual, Embodiment, and Historical Limits</w:t>
      </w:r>
    </w:p>
    <w:p w14:paraId="4E0C45D9"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This essay is not a philological edition of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 nor does it claim to reconstruct with certainty the exact historical performance practices of Pāla-period Buddhist Tantra. Rather, it is an interdisciplinary interpretive study situated at the intersection of Buddhist Studies, Ritual Studies, Performance Studies, and the anthropology of embodiment. Its central objective is to explore how dance and song in the </w:t>
      </w:r>
      <w:r w:rsidRPr="00662B7F">
        <w:rPr>
          <w:rFonts w:ascii="Times New Roman" w:eastAsia="Times New Roman" w:hAnsi="Times New Roman" w:cs="Times New Roman"/>
          <w:i/>
          <w:iCs/>
          <w:color w:val="000000"/>
          <w:kern w:val="0"/>
          <w:szCs w:val="24"/>
          <w:lang w:eastAsia="en-GB"/>
          <w14:ligatures w14:val="none"/>
        </w:rPr>
        <w:t>Caryāpaṭala</w:t>
      </w:r>
      <w:r w:rsidRPr="00662B7F">
        <w:rPr>
          <w:rFonts w:ascii="Times New Roman" w:eastAsia="Times New Roman" w:hAnsi="Times New Roman" w:cs="Times New Roman"/>
          <w:color w:val="000000"/>
          <w:kern w:val="0"/>
          <w:szCs w:val="24"/>
          <w:lang w:eastAsia="en-GB"/>
          <w14:ligatures w14:val="none"/>
        </w:rPr>
        <w:t> (1.6) of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 may be understood as forms of contemplative and ritualized embodiment rather than merely aesthetic representation.</w:t>
      </w:r>
    </w:p>
    <w:p w14:paraId="47E069FA"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074E74FD"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 xml:space="preserve">Because the essay moves across textual interpretation, comparative theory, ritual analysis, and historical reconstruction, it is necessary to clarify the methodological character of the </w:t>
      </w:r>
      <w:r w:rsidRPr="00662B7F">
        <w:rPr>
          <w:rFonts w:ascii="Times New Roman" w:eastAsia="Times New Roman" w:hAnsi="Times New Roman" w:cs="Times New Roman"/>
          <w:color w:val="000000"/>
          <w:kern w:val="0"/>
          <w:szCs w:val="24"/>
          <w:lang w:eastAsia="en-GB"/>
          <w14:ligatures w14:val="none"/>
        </w:rPr>
        <w:lastRenderedPageBreak/>
        <w:t>argument, the nature of the evidence employed, the role of comparison, and the limits of the historical claims being advanced.</w:t>
      </w:r>
    </w:p>
    <w:p w14:paraId="67EAC73A" w14:textId="77777777" w:rsidR="00A96FB6" w:rsidRDefault="00A96FB6" w:rsidP="00A96FB6">
      <w:pPr>
        <w:outlineLvl w:val="2"/>
        <w:rPr>
          <w:rFonts w:ascii="Times New Roman" w:eastAsia="Times New Roman" w:hAnsi="Times New Roman" w:cs="Times New Roman"/>
          <w:b/>
          <w:bCs/>
          <w:color w:val="000000"/>
          <w:kern w:val="0"/>
          <w:szCs w:val="24"/>
          <w:lang w:eastAsia="en-GB"/>
          <w14:ligatures w14:val="none"/>
        </w:rPr>
      </w:pPr>
    </w:p>
    <w:p w14:paraId="34E9FA8D" w14:textId="77777777" w:rsidR="00A96FB6" w:rsidRPr="00662B7F" w:rsidRDefault="00A96FB6" w:rsidP="00A96FB6">
      <w:pPr>
        <w:outlineLvl w:val="2"/>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Types of Argument Used in the Essay</w:t>
      </w:r>
    </w:p>
    <w:p w14:paraId="0F3DBE14"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Different sections of this essay operate through different forms of argumentation.</w:t>
      </w:r>
    </w:p>
    <w:p w14:paraId="4EB1CA59"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First, the readings of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 </w:t>
      </w:r>
      <w:r w:rsidRPr="00662B7F">
        <w:rPr>
          <w:rFonts w:ascii="Times New Roman" w:eastAsia="Times New Roman" w:hAnsi="Times New Roman" w:cs="Times New Roman"/>
          <w:i/>
          <w:iCs/>
          <w:color w:val="000000"/>
          <w:kern w:val="0"/>
          <w:szCs w:val="24"/>
          <w:lang w:eastAsia="en-GB"/>
          <w14:ligatures w14:val="none"/>
        </w:rPr>
        <w:t>Caryāpada</w:t>
      </w:r>
      <w:r w:rsidRPr="00662B7F">
        <w:rPr>
          <w:rFonts w:ascii="Times New Roman" w:eastAsia="Times New Roman" w:hAnsi="Times New Roman" w:cs="Times New Roman"/>
          <w:color w:val="000000"/>
          <w:kern w:val="0"/>
          <w:szCs w:val="24"/>
          <w:lang w:eastAsia="en-GB"/>
          <w14:ligatures w14:val="none"/>
        </w:rPr>
        <w:t>, </w:t>
      </w:r>
      <w:r w:rsidRPr="00662B7F">
        <w:rPr>
          <w:rFonts w:ascii="Times New Roman" w:eastAsia="Times New Roman" w:hAnsi="Times New Roman" w:cs="Times New Roman"/>
          <w:i/>
          <w:iCs/>
          <w:color w:val="000000"/>
          <w:kern w:val="0"/>
          <w:szCs w:val="24"/>
          <w:lang w:eastAsia="en-GB"/>
          <w14:ligatures w14:val="none"/>
        </w:rPr>
        <w:t>Nāṭyaśāstra</w:t>
      </w:r>
      <w:r w:rsidRPr="00662B7F">
        <w:rPr>
          <w:rFonts w:ascii="Times New Roman" w:eastAsia="Times New Roman" w:hAnsi="Times New Roman" w:cs="Times New Roman"/>
          <w:color w:val="000000"/>
          <w:kern w:val="0"/>
          <w:szCs w:val="24"/>
          <w:lang w:eastAsia="en-GB"/>
          <w14:ligatures w14:val="none"/>
        </w:rPr>
        <w:t>, and </w:t>
      </w:r>
      <w:r w:rsidRPr="00662B7F">
        <w:rPr>
          <w:rFonts w:ascii="Times New Roman" w:eastAsia="Times New Roman" w:hAnsi="Times New Roman" w:cs="Times New Roman"/>
          <w:i/>
          <w:iCs/>
          <w:color w:val="000000"/>
          <w:kern w:val="0"/>
          <w:szCs w:val="24"/>
          <w:lang w:eastAsia="en-GB"/>
          <w14:ligatures w14:val="none"/>
        </w:rPr>
        <w:t>Abhidharmakośabhāṣya</w:t>
      </w:r>
      <w:r w:rsidRPr="00662B7F">
        <w:rPr>
          <w:rFonts w:ascii="Times New Roman" w:eastAsia="Times New Roman" w:hAnsi="Times New Roman" w:cs="Times New Roman"/>
          <w:color w:val="000000"/>
          <w:kern w:val="0"/>
          <w:szCs w:val="24"/>
          <w:lang w:eastAsia="en-GB"/>
          <w14:ligatures w14:val="none"/>
        </w:rPr>
        <w:t> are primarily forms of textual-hermeneutic analysis. These sections examine Sanskrit and vernacular passages in order to interpret concepts such as:</w:t>
      </w:r>
    </w:p>
    <w:p w14:paraId="15ACA44E" w14:textId="77777777" w:rsidR="00A96FB6" w:rsidRPr="00662B7F" w:rsidRDefault="00A96FB6" w:rsidP="00A96FB6">
      <w:pPr>
        <w:numPr>
          <w:ilvl w:val="0"/>
          <w:numId w:val="14"/>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mahāsukha</w:t>
      </w:r>
      <w:r w:rsidRPr="00662B7F">
        <w:rPr>
          <w:rFonts w:ascii="Times New Roman" w:eastAsia="Times New Roman" w:hAnsi="Times New Roman" w:cs="Times New Roman"/>
          <w:color w:val="000000"/>
          <w:kern w:val="0"/>
          <w:szCs w:val="24"/>
          <w:lang w:eastAsia="en-GB"/>
          <w14:ligatures w14:val="none"/>
        </w:rPr>
        <w:t>,</w:t>
      </w:r>
    </w:p>
    <w:p w14:paraId="1B28145D" w14:textId="77777777" w:rsidR="00A96FB6" w:rsidRPr="00662B7F" w:rsidRDefault="00A96FB6" w:rsidP="00A96FB6">
      <w:pPr>
        <w:numPr>
          <w:ilvl w:val="0"/>
          <w:numId w:val="14"/>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bhāvanā</w:t>
      </w:r>
      <w:r w:rsidRPr="00662B7F">
        <w:rPr>
          <w:rFonts w:ascii="Times New Roman" w:eastAsia="Times New Roman" w:hAnsi="Times New Roman" w:cs="Times New Roman"/>
          <w:color w:val="000000"/>
          <w:kern w:val="0"/>
          <w:szCs w:val="24"/>
          <w:lang w:eastAsia="en-GB"/>
          <w14:ligatures w14:val="none"/>
        </w:rPr>
        <w:t>,</w:t>
      </w:r>
    </w:p>
    <w:p w14:paraId="6BA1E6F5" w14:textId="77777777" w:rsidR="00A96FB6" w:rsidRPr="00662B7F" w:rsidRDefault="00A96FB6" w:rsidP="00A96FB6">
      <w:pPr>
        <w:numPr>
          <w:ilvl w:val="0"/>
          <w:numId w:val="14"/>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sahaja</w:t>
      </w:r>
      <w:r w:rsidRPr="00662B7F">
        <w:rPr>
          <w:rFonts w:ascii="Times New Roman" w:eastAsia="Times New Roman" w:hAnsi="Times New Roman" w:cs="Times New Roman"/>
          <w:color w:val="000000"/>
          <w:kern w:val="0"/>
          <w:szCs w:val="24"/>
          <w:lang w:eastAsia="en-GB"/>
          <w14:ligatures w14:val="none"/>
        </w:rPr>
        <w:t>,</w:t>
      </w:r>
    </w:p>
    <w:p w14:paraId="3D264788" w14:textId="77777777" w:rsidR="00A96FB6" w:rsidRPr="00662B7F" w:rsidRDefault="00A96FB6" w:rsidP="00A96FB6">
      <w:pPr>
        <w:numPr>
          <w:ilvl w:val="0"/>
          <w:numId w:val="14"/>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ritual movement,</w:t>
      </w:r>
    </w:p>
    <w:p w14:paraId="0092EFEC" w14:textId="77777777" w:rsidR="00A96FB6" w:rsidRPr="00662B7F" w:rsidRDefault="00A96FB6" w:rsidP="00A96FB6">
      <w:pPr>
        <w:numPr>
          <w:ilvl w:val="0"/>
          <w:numId w:val="14"/>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and contemplative embodiment.</w:t>
      </w:r>
    </w:p>
    <w:p w14:paraId="200AD71A"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5AEAB3EC"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goal in these sections is interpretive rather than purely historical. The essay asks what kinds of embodied religious practice become conceivable within these textual worlds.</w:t>
      </w:r>
    </w:p>
    <w:p w14:paraId="790541E8"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Second, the discussions of Catherine Bell, Thomas Csordas, Victor Turner, and Richard Schechner employ comparative theoretical argumentation. These frameworks are not introduced to claim historical influence upon Buddhist Tantra. Rather, they function as analytical tools that illuminate different dimensions of tantric ritual practice:</w:t>
      </w:r>
    </w:p>
    <w:p w14:paraId="59BE495B" w14:textId="77777777" w:rsidR="00A96FB6" w:rsidRPr="00662B7F" w:rsidRDefault="00A96FB6" w:rsidP="00A96FB6">
      <w:pPr>
        <w:numPr>
          <w:ilvl w:val="0"/>
          <w:numId w:val="15"/>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Bell clarifies ritual differentiation,</w:t>
      </w:r>
    </w:p>
    <w:p w14:paraId="74110D6F" w14:textId="77777777" w:rsidR="00A96FB6" w:rsidRPr="00662B7F" w:rsidRDefault="00A96FB6" w:rsidP="00A96FB6">
      <w:pPr>
        <w:numPr>
          <w:ilvl w:val="0"/>
          <w:numId w:val="15"/>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Csordas illuminates embodiment,</w:t>
      </w:r>
    </w:p>
    <w:p w14:paraId="4D3D524F" w14:textId="77777777" w:rsidR="00A96FB6" w:rsidRPr="00662B7F" w:rsidRDefault="00A96FB6" w:rsidP="00A96FB6">
      <w:pPr>
        <w:numPr>
          <w:ilvl w:val="0"/>
          <w:numId w:val="15"/>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Turner explains liminal transformation,</w:t>
      </w:r>
    </w:p>
    <w:p w14:paraId="448B8B9F" w14:textId="77777777" w:rsidR="00A96FB6" w:rsidRPr="00662B7F" w:rsidRDefault="00A96FB6" w:rsidP="00A96FB6">
      <w:pPr>
        <w:numPr>
          <w:ilvl w:val="0"/>
          <w:numId w:val="15"/>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Schechner clarifies repetitive performative structures.</w:t>
      </w:r>
    </w:p>
    <w:p w14:paraId="38783452"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These theories are therefore heuristic and interpretive rather than genealogical.</w:t>
      </w:r>
    </w:p>
    <w:p w14:paraId="767BF44B"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p>
    <w:p w14:paraId="0C57DE88"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Third, the sections on Somapura, Mainamati, manuscript culture, and Siddhācārya traditions use contextual-historical argumentation. These discussions attempt to reconstruct the broader cultural environment within which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 and related traditions may have circulated. The argument here is probabilistic rather than definitive. Archaeological remains, visual culture, manuscript transmission, and literary evidence are used to establish the plausibility of a ritual and performative tantric milieu in Pāla Bengal.</w:t>
      </w:r>
    </w:p>
    <w:p w14:paraId="2200AF7F"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p>
    <w:p w14:paraId="0F59556F" w14:textId="77777777" w:rsidR="00A96FB6"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Fourth, the gender section employs critical and feminist analysis. It interrogates whether categories such as “performed liberation,” embodiment, and </w:t>
      </w:r>
      <w:r w:rsidRPr="00662B7F">
        <w:rPr>
          <w:rFonts w:ascii="Times New Roman" w:eastAsia="Times New Roman" w:hAnsi="Times New Roman" w:cs="Times New Roman"/>
          <w:i/>
          <w:iCs/>
          <w:color w:val="000000"/>
          <w:kern w:val="0"/>
          <w:szCs w:val="24"/>
          <w:lang w:eastAsia="en-GB"/>
          <w14:ligatures w14:val="none"/>
        </w:rPr>
        <w:t>mahāsukha</w:t>
      </w:r>
      <w:r w:rsidRPr="00662B7F">
        <w:rPr>
          <w:rFonts w:ascii="Times New Roman" w:eastAsia="Times New Roman" w:hAnsi="Times New Roman" w:cs="Times New Roman"/>
          <w:color w:val="000000"/>
          <w:kern w:val="0"/>
          <w:szCs w:val="24"/>
          <w:lang w:eastAsia="en-GB"/>
          <w14:ligatures w14:val="none"/>
        </w:rPr>
        <w:t> can be assumed to be gender-neutral. This part of the essay is therefore not merely descriptive but evaluative and theoretically self-reflexive.</w:t>
      </w:r>
    </w:p>
    <w:p w14:paraId="712F42F0"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p>
    <w:p w14:paraId="3D27D332"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Finally, the essay as a whole employs what may be called phenomenological interpretation. It repeatedly asks how ritual movement, dance, sound, sensory contact, and bodily awareness may have been experienced within tantric contemplative frameworks. Such arguments concern modes of experience rather than empirically verifiable psychological states.</w:t>
      </w:r>
    </w:p>
    <w:p w14:paraId="3BDDEF1E" w14:textId="77777777" w:rsidR="00A96FB6" w:rsidRDefault="00A96FB6" w:rsidP="00A96FB6">
      <w:pPr>
        <w:outlineLvl w:val="2"/>
        <w:rPr>
          <w:rFonts w:ascii="Times New Roman" w:eastAsia="Times New Roman" w:hAnsi="Times New Roman" w:cs="Times New Roman"/>
          <w:b/>
          <w:bCs/>
          <w:color w:val="000000"/>
          <w:kern w:val="0"/>
          <w:szCs w:val="24"/>
          <w:lang w:eastAsia="en-GB"/>
          <w14:ligatures w14:val="none"/>
        </w:rPr>
      </w:pPr>
    </w:p>
    <w:p w14:paraId="4C2B3674" w14:textId="77777777" w:rsidR="00A96FB6" w:rsidRPr="00662B7F" w:rsidRDefault="00A96FB6" w:rsidP="00A96FB6">
      <w:pPr>
        <w:outlineLvl w:val="2"/>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What Constitutes Evidence</w:t>
      </w:r>
    </w:p>
    <w:p w14:paraId="30D4D0D7"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evidence used throughout this essay falls into several overlapping categories.</w:t>
      </w:r>
    </w:p>
    <w:p w14:paraId="6F5C93A1" w14:textId="77777777" w:rsidR="00A96FB6" w:rsidRPr="00662B7F" w:rsidRDefault="00A96FB6" w:rsidP="00A96FB6">
      <w:pPr>
        <w:outlineLvl w:val="3"/>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1. Textual Evidence</w:t>
      </w:r>
    </w:p>
    <w:p w14:paraId="4D988B49"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Primary textual evidence includes:</w:t>
      </w:r>
    </w:p>
    <w:p w14:paraId="70245CD6" w14:textId="77777777" w:rsidR="00A96FB6" w:rsidRPr="00662B7F" w:rsidRDefault="00A96FB6" w:rsidP="00A96FB6">
      <w:pPr>
        <w:numPr>
          <w:ilvl w:val="0"/>
          <w:numId w:val="16"/>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w:t>
      </w:r>
    </w:p>
    <w:p w14:paraId="3E0A7E78" w14:textId="77777777" w:rsidR="00A96FB6" w:rsidRPr="00662B7F" w:rsidRDefault="00A96FB6" w:rsidP="00A96FB6">
      <w:pPr>
        <w:numPr>
          <w:ilvl w:val="0"/>
          <w:numId w:val="16"/>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w:t>
      </w:r>
      <w:r w:rsidRPr="00662B7F">
        <w:rPr>
          <w:rFonts w:ascii="Times New Roman" w:eastAsia="Times New Roman" w:hAnsi="Times New Roman" w:cs="Times New Roman"/>
          <w:i/>
          <w:iCs/>
          <w:color w:val="000000"/>
          <w:kern w:val="0"/>
          <w:szCs w:val="24"/>
          <w:lang w:eastAsia="en-GB"/>
          <w14:ligatures w14:val="none"/>
        </w:rPr>
        <w:t>Caryāpada</w:t>
      </w:r>
      <w:r w:rsidRPr="00662B7F">
        <w:rPr>
          <w:rFonts w:ascii="Times New Roman" w:eastAsia="Times New Roman" w:hAnsi="Times New Roman" w:cs="Times New Roman"/>
          <w:color w:val="000000"/>
          <w:kern w:val="0"/>
          <w:szCs w:val="24"/>
          <w:lang w:eastAsia="en-GB"/>
          <w14:ligatures w14:val="none"/>
        </w:rPr>
        <w:t>,</w:t>
      </w:r>
    </w:p>
    <w:p w14:paraId="33A29DAF" w14:textId="77777777" w:rsidR="00A96FB6" w:rsidRPr="00662B7F" w:rsidRDefault="00A96FB6" w:rsidP="00A96FB6">
      <w:pPr>
        <w:numPr>
          <w:ilvl w:val="0"/>
          <w:numId w:val="16"/>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w:t>
      </w:r>
      <w:r w:rsidRPr="00662B7F">
        <w:rPr>
          <w:rFonts w:ascii="Times New Roman" w:eastAsia="Times New Roman" w:hAnsi="Times New Roman" w:cs="Times New Roman"/>
          <w:i/>
          <w:iCs/>
          <w:color w:val="000000"/>
          <w:kern w:val="0"/>
          <w:szCs w:val="24"/>
          <w:lang w:eastAsia="en-GB"/>
          <w14:ligatures w14:val="none"/>
        </w:rPr>
        <w:t>Nāṭyaśāstra</w:t>
      </w:r>
      <w:r w:rsidRPr="00662B7F">
        <w:rPr>
          <w:rFonts w:ascii="Times New Roman" w:eastAsia="Times New Roman" w:hAnsi="Times New Roman" w:cs="Times New Roman"/>
          <w:color w:val="000000"/>
          <w:kern w:val="0"/>
          <w:szCs w:val="24"/>
          <w:lang w:eastAsia="en-GB"/>
          <w14:ligatures w14:val="none"/>
        </w:rPr>
        <w:t>,</w:t>
      </w:r>
    </w:p>
    <w:p w14:paraId="0087FF1F" w14:textId="77777777" w:rsidR="00A96FB6" w:rsidRPr="00662B7F" w:rsidRDefault="00A96FB6" w:rsidP="00A96FB6">
      <w:pPr>
        <w:numPr>
          <w:ilvl w:val="0"/>
          <w:numId w:val="16"/>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lastRenderedPageBreak/>
        <w:t>the </w:t>
      </w:r>
      <w:r w:rsidRPr="00662B7F">
        <w:rPr>
          <w:rFonts w:ascii="Times New Roman" w:eastAsia="Times New Roman" w:hAnsi="Times New Roman" w:cs="Times New Roman"/>
          <w:i/>
          <w:iCs/>
          <w:color w:val="000000"/>
          <w:kern w:val="0"/>
          <w:szCs w:val="24"/>
          <w:lang w:eastAsia="en-GB"/>
          <w14:ligatures w14:val="none"/>
        </w:rPr>
        <w:t>Abhinavabhāratī</w:t>
      </w:r>
      <w:r w:rsidRPr="00662B7F">
        <w:rPr>
          <w:rFonts w:ascii="Times New Roman" w:eastAsia="Times New Roman" w:hAnsi="Times New Roman" w:cs="Times New Roman"/>
          <w:color w:val="000000"/>
          <w:kern w:val="0"/>
          <w:szCs w:val="24"/>
          <w:lang w:eastAsia="en-GB"/>
          <w14:ligatures w14:val="none"/>
        </w:rPr>
        <w:t>,</w:t>
      </w:r>
    </w:p>
    <w:p w14:paraId="7C52F2BE" w14:textId="77777777" w:rsidR="00A96FB6" w:rsidRPr="00662B7F" w:rsidRDefault="00A96FB6" w:rsidP="00A96FB6">
      <w:pPr>
        <w:numPr>
          <w:ilvl w:val="0"/>
          <w:numId w:val="16"/>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and the </w:t>
      </w:r>
      <w:r w:rsidRPr="00662B7F">
        <w:rPr>
          <w:rFonts w:ascii="Times New Roman" w:eastAsia="Times New Roman" w:hAnsi="Times New Roman" w:cs="Times New Roman"/>
          <w:i/>
          <w:iCs/>
          <w:color w:val="000000"/>
          <w:kern w:val="0"/>
          <w:szCs w:val="24"/>
          <w:lang w:eastAsia="en-GB"/>
          <w14:ligatures w14:val="none"/>
        </w:rPr>
        <w:t>Abhidharmakośabhāṣya</w:t>
      </w:r>
      <w:r w:rsidRPr="00662B7F">
        <w:rPr>
          <w:rFonts w:ascii="Times New Roman" w:eastAsia="Times New Roman" w:hAnsi="Times New Roman" w:cs="Times New Roman"/>
          <w:color w:val="000000"/>
          <w:kern w:val="0"/>
          <w:szCs w:val="24"/>
          <w:lang w:eastAsia="en-GB"/>
          <w14:ligatures w14:val="none"/>
        </w:rPr>
        <w:t>.</w:t>
      </w:r>
    </w:p>
    <w:p w14:paraId="153762DB"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These texts are treated not simply as repositories of doctrine but as cultural and ritual documents. Attention is therefore paid to:</w:t>
      </w:r>
    </w:p>
    <w:p w14:paraId="08D825EE" w14:textId="77777777" w:rsidR="00A96FB6" w:rsidRPr="00662B7F" w:rsidRDefault="00A96FB6" w:rsidP="00A96FB6">
      <w:pPr>
        <w:numPr>
          <w:ilvl w:val="0"/>
          <w:numId w:val="17"/>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terminology,</w:t>
      </w:r>
    </w:p>
    <w:p w14:paraId="6733E20B" w14:textId="77777777" w:rsidR="00A96FB6" w:rsidRPr="00662B7F" w:rsidRDefault="00A96FB6" w:rsidP="00A96FB6">
      <w:pPr>
        <w:numPr>
          <w:ilvl w:val="0"/>
          <w:numId w:val="17"/>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metaphor,</w:t>
      </w:r>
    </w:p>
    <w:p w14:paraId="4C739DE1" w14:textId="77777777" w:rsidR="00A96FB6" w:rsidRPr="00662B7F" w:rsidRDefault="00A96FB6" w:rsidP="00A96FB6">
      <w:pPr>
        <w:numPr>
          <w:ilvl w:val="0"/>
          <w:numId w:val="17"/>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ritual instruction,</w:t>
      </w:r>
    </w:p>
    <w:p w14:paraId="0A7CB16F" w14:textId="77777777" w:rsidR="00A96FB6" w:rsidRPr="00662B7F" w:rsidRDefault="00A96FB6" w:rsidP="00A96FB6">
      <w:pPr>
        <w:numPr>
          <w:ilvl w:val="0"/>
          <w:numId w:val="17"/>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and performative language.</w:t>
      </w:r>
    </w:p>
    <w:p w14:paraId="6CAFA9FE"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Whenever possible, Sanskrit passages are cited directly in transliteration and translation.</w:t>
      </w:r>
    </w:p>
    <w:p w14:paraId="2A1957BB" w14:textId="77777777" w:rsidR="00A96FB6" w:rsidRDefault="00A96FB6" w:rsidP="00A96FB6">
      <w:pPr>
        <w:outlineLvl w:val="3"/>
        <w:rPr>
          <w:rFonts w:ascii="Times New Roman" w:eastAsia="Times New Roman" w:hAnsi="Times New Roman" w:cs="Times New Roman"/>
          <w:b/>
          <w:bCs/>
          <w:color w:val="000000"/>
          <w:kern w:val="0"/>
          <w:szCs w:val="24"/>
          <w:lang w:eastAsia="en-GB"/>
          <w14:ligatures w14:val="none"/>
        </w:rPr>
      </w:pPr>
    </w:p>
    <w:p w14:paraId="29476E56" w14:textId="77777777" w:rsidR="00A96FB6" w:rsidRPr="00662B7F" w:rsidRDefault="00A96FB6" w:rsidP="00A96FB6">
      <w:pPr>
        <w:outlineLvl w:val="3"/>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2. Archaeological and Art-Historical Evidence</w:t>
      </w:r>
    </w:p>
    <w:p w14:paraId="3460A512"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Material evidence from:</w:t>
      </w:r>
    </w:p>
    <w:p w14:paraId="7AA9767B"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Somapura Mahāvihāra,</w:t>
      </w:r>
    </w:p>
    <w:p w14:paraId="52334FCF"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Mainamati-Lalmai,</w:t>
      </w:r>
    </w:p>
    <w:p w14:paraId="15898D19"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terracotta plaques,</w:t>
      </w:r>
    </w:p>
    <w:p w14:paraId="58F6A3D7"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ritual architecture,</w:t>
      </w:r>
    </w:p>
    <w:p w14:paraId="08F84BF2"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Buddhist bronzes,</w:t>
      </w:r>
    </w:p>
    <w:p w14:paraId="3886386A"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manuscript painting,</w:t>
      </w:r>
    </w:p>
    <w:p w14:paraId="102F0883" w14:textId="77777777" w:rsidR="00A96FB6" w:rsidRPr="00662B7F" w:rsidRDefault="00A96FB6" w:rsidP="00A96FB6">
      <w:pPr>
        <w:numPr>
          <w:ilvl w:val="0"/>
          <w:numId w:val="18"/>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and monastic spatial organization</w:t>
      </w:r>
    </w:p>
    <w:p w14:paraId="7766406F"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is used to reconstruct the embodied and visual culture of Pāla Buddhism.</w:t>
      </w:r>
    </w:p>
    <w:p w14:paraId="28C2E108"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Such evidence does not prove the performance of specific tantric dances. Rather, it demonstrates that Buddhist monastic culture in eastern India and Bengal was ritually active, visually saturated, and deeply connected to image, movement, and circumambulatory space.</w:t>
      </w:r>
    </w:p>
    <w:p w14:paraId="573FA960" w14:textId="77777777" w:rsidR="00A96FB6" w:rsidRDefault="00A96FB6" w:rsidP="00A96FB6">
      <w:pPr>
        <w:outlineLvl w:val="3"/>
        <w:rPr>
          <w:rFonts w:ascii="Times New Roman" w:eastAsia="Times New Roman" w:hAnsi="Times New Roman" w:cs="Times New Roman"/>
          <w:b/>
          <w:bCs/>
          <w:color w:val="000000"/>
          <w:kern w:val="0"/>
          <w:szCs w:val="24"/>
          <w:lang w:eastAsia="en-GB"/>
          <w14:ligatures w14:val="none"/>
        </w:rPr>
      </w:pPr>
    </w:p>
    <w:p w14:paraId="4051ADED" w14:textId="77777777" w:rsidR="00A96FB6" w:rsidRPr="00662B7F" w:rsidRDefault="00A96FB6" w:rsidP="00A96FB6">
      <w:pPr>
        <w:outlineLvl w:val="3"/>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3. Manuscript and Literary Transmission</w:t>
      </w:r>
    </w:p>
    <w:p w14:paraId="188A4613"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w:t>
      </w:r>
      <w:r w:rsidRPr="00662B7F">
        <w:rPr>
          <w:rFonts w:ascii="Times New Roman" w:eastAsia="Times New Roman" w:hAnsi="Times New Roman" w:cs="Times New Roman"/>
          <w:i/>
          <w:iCs/>
          <w:color w:val="000000"/>
          <w:kern w:val="0"/>
          <w:szCs w:val="24"/>
          <w:lang w:eastAsia="en-GB"/>
          <w14:ligatures w14:val="none"/>
        </w:rPr>
        <w:t>Caryāpada</w:t>
      </w:r>
      <w:r w:rsidRPr="00662B7F">
        <w:rPr>
          <w:rFonts w:ascii="Times New Roman" w:eastAsia="Times New Roman" w:hAnsi="Times New Roman" w:cs="Times New Roman"/>
          <w:color w:val="000000"/>
          <w:kern w:val="0"/>
          <w:szCs w:val="24"/>
          <w:lang w:eastAsia="en-GB"/>
          <w14:ligatures w14:val="none"/>
        </w:rPr>
        <w:t> manuscript tradition and Siddhācārya literature are used as evidence of vernacular esoteric song traditions associated with Buddhist Tantra. These sources indicate that poetic, musical, and mnemonic modes of transmission were central to tantric culture.</w:t>
      </w:r>
    </w:p>
    <w:p w14:paraId="0BAF0CBD" w14:textId="77777777" w:rsidR="00A96FB6" w:rsidRDefault="00A96FB6" w:rsidP="00A96FB6">
      <w:pPr>
        <w:outlineLvl w:val="3"/>
        <w:rPr>
          <w:rFonts w:ascii="Times New Roman" w:eastAsia="Times New Roman" w:hAnsi="Times New Roman" w:cs="Times New Roman"/>
          <w:b/>
          <w:bCs/>
          <w:color w:val="000000"/>
          <w:kern w:val="0"/>
          <w:szCs w:val="24"/>
          <w:lang w:eastAsia="en-GB"/>
          <w14:ligatures w14:val="none"/>
        </w:rPr>
      </w:pPr>
    </w:p>
    <w:p w14:paraId="55886D39" w14:textId="77777777" w:rsidR="00A96FB6" w:rsidRPr="00662B7F" w:rsidRDefault="00A96FB6" w:rsidP="00A96FB6">
      <w:pPr>
        <w:outlineLvl w:val="3"/>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4. Comparative Theoretical Evidence</w:t>
      </w:r>
    </w:p>
    <w:p w14:paraId="6DD3173E"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Modern theorists are used comparatively and heuristically rather than as explanatory authorities. Their concepts help clarify structures of ritual embodiment, liminality, repetition, and performativity visible within tantric sources.</w:t>
      </w:r>
    </w:p>
    <w:p w14:paraId="562FA92C"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essay therefore does not argue that:</w:t>
      </w:r>
    </w:p>
    <w:p w14:paraId="7D79DC5D" w14:textId="77777777" w:rsidR="00A96FB6" w:rsidRPr="00662B7F" w:rsidRDefault="00A96FB6" w:rsidP="00A96FB6">
      <w:pPr>
        <w:numPr>
          <w:ilvl w:val="0"/>
          <w:numId w:val="19"/>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Victor Turner explains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w:t>
      </w:r>
    </w:p>
    <w:p w14:paraId="4707E4C1" w14:textId="77777777" w:rsidR="00A96FB6" w:rsidRPr="00662B7F" w:rsidRDefault="00A96FB6" w:rsidP="00A96FB6">
      <w:pPr>
        <w:numPr>
          <w:ilvl w:val="0"/>
          <w:numId w:val="19"/>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or that Schechner “proves” tantric performance theory.</w:t>
      </w:r>
    </w:p>
    <w:p w14:paraId="14DF9B74"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Rather, these frameworks provide conceptual vocabulary for interpreting ritual movement.</w:t>
      </w:r>
    </w:p>
    <w:p w14:paraId="615B74B9" w14:textId="77777777" w:rsidR="00A96FB6" w:rsidRDefault="00A96FB6" w:rsidP="00A96FB6">
      <w:pPr>
        <w:outlineLvl w:val="2"/>
        <w:rPr>
          <w:rFonts w:ascii="Times New Roman" w:eastAsia="Times New Roman" w:hAnsi="Times New Roman" w:cs="Times New Roman"/>
          <w:b/>
          <w:bCs/>
          <w:color w:val="000000"/>
          <w:kern w:val="0"/>
          <w:szCs w:val="24"/>
          <w:lang w:eastAsia="en-GB"/>
          <w14:ligatures w14:val="none"/>
        </w:rPr>
      </w:pPr>
    </w:p>
    <w:p w14:paraId="0C99D745" w14:textId="77777777" w:rsidR="00A96FB6" w:rsidRPr="00662B7F" w:rsidRDefault="00A96FB6" w:rsidP="00A96FB6">
      <w:pPr>
        <w:outlineLvl w:val="2"/>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The Use of Comparison</w:t>
      </w:r>
    </w:p>
    <w:p w14:paraId="04E4216D"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Comparison in this essay operates at multiple levels.</w:t>
      </w:r>
    </w:p>
    <w:p w14:paraId="3EE2FE48"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2541E607"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First, there is intra-Indic comparison:</w:t>
      </w:r>
    </w:p>
    <w:p w14:paraId="6C225429" w14:textId="77777777" w:rsidR="00A96FB6" w:rsidRPr="00662B7F" w:rsidRDefault="00A96FB6" w:rsidP="00A96FB6">
      <w:pPr>
        <w:numPr>
          <w:ilvl w:val="0"/>
          <w:numId w:val="20"/>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Nāṭyaśāstra</w:t>
      </w:r>
      <w:r w:rsidRPr="00662B7F">
        <w:rPr>
          <w:rFonts w:ascii="Times New Roman" w:eastAsia="Times New Roman" w:hAnsi="Times New Roman" w:cs="Times New Roman"/>
          <w:color w:val="000000"/>
          <w:kern w:val="0"/>
          <w:szCs w:val="24"/>
          <w:lang w:eastAsia="en-GB"/>
          <w14:ligatures w14:val="none"/>
        </w:rPr>
        <w:t> and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w:t>
      </w:r>
    </w:p>
    <w:p w14:paraId="7C039CE1" w14:textId="77777777" w:rsidR="00A96FB6" w:rsidRPr="00662B7F" w:rsidRDefault="00A96FB6" w:rsidP="00A96FB6">
      <w:pPr>
        <w:numPr>
          <w:ilvl w:val="0"/>
          <w:numId w:val="20"/>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Abhinavagupta and Yoginītantra,</w:t>
      </w:r>
    </w:p>
    <w:p w14:paraId="31A66AD6" w14:textId="77777777" w:rsidR="00A96FB6" w:rsidRPr="00662B7F" w:rsidRDefault="00A96FB6" w:rsidP="00A96FB6">
      <w:pPr>
        <w:numPr>
          <w:ilvl w:val="0"/>
          <w:numId w:val="20"/>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Abhidharma and Tantra.</w:t>
      </w:r>
    </w:p>
    <w:p w14:paraId="585D5A66"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These comparisons seek to identify differences in how embodiment, aesthetics, and liberation are conceptualized within South Asian traditions.</w:t>
      </w:r>
    </w:p>
    <w:p w14:paraId="1061DFE9"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15D7B3DB"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Second, there is cross-cultural comparison, particularly through the discussion of Mevlevi </w:t>
      </w:r>
      <w:r w:rsidRPr="00662B7F">
        <w:rPr>
          <w:rFonts w:ascii="Times New Roman" w:eastAsia="Times New Roman" w:hAnsi="Times New Roman" w:cs="Times New Roman"/>
          <w:i/>
          <w:iCs/>
          <w:color w:val="000000"/>
          <w:kern w:val="0"/>
          <w:szCs w:val="24"/>
          <w:lang w:eastAsia="en-GB"/>
          <w14:ligatures w14:val="none"/>
        </w:rPr>
        <w:t>Semā</w:t>
      </w:r>
      <w:r w:rsidRPr="00662B7F">
        <w:rPr>
          <w:rFonts w:ascii="Times New Roman" w:eastAsia="Times New Roman" w:hAnsi="Times New Roman" w:cs="Times New Roman"/>
          <w:color w:val="000000"/>
          <w:kern w:val="0"/>
          <w:szCs w:val="24"/>
          <w:lang w:eastAsia="en-GB"/>
          <w14:ligatures w14:val="none"/>
        </w:rPr>
        <w:t xml:space="preserve">. This comparison is not intended to collapse Islamic Sufism and Buddhist </w:t>
      </w:r>
      <w:r w:rsidRPr="00662B7F">
        <w:rPr>
          <w:rFonts w:ascii="Times New Roman" w:eastAsia="Times New Roman" w:hAnsi="Times New Roman" w:cs="Times New Roman"/>
          <w:color w:val="000000"/>
          <w:kern w:val="0"/>
          <w:szCs w:val="24"/>
          <w:lang w:eastAsia="en-GB"/>
          <w14:ligatures w14:val="none"/>
        </w:rPr>
        <w:lastRenderedPageBreak/>
        <w:t>Tantra into a generalized category of “mysticism.” Rather, the comparison isolates structural similarities in ritual movement, repetitive embodiment, altered states, and contemplative choreography while preserving theological difference.</w:t>
      </w:r>
    </w:p>
    <w:p w14:paraId="0F1B939B"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2FFA59E1"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Third, comparison functions methodologically as what Jonathan Z. Smith calls a “scholarly operation” rather than a claim of identity. Comparative analysis here generates interpretive insight by placing distinct traditions into controlled analytical relation.</w:t>
      </w:r>
    </w:p>
    <w:p w14:paraId="3256EBE6"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Accordingly, the essay avoids claims of:</w:t>
      </w:r>
    </w:p>
    <w:p w14:paraId="4BA4A441" w14:textId="77777777" w:rsidR="00A96FB6" w:rsidRPr="00662B7F" w:rsidRDefault="00A96FB6" w:rsidP="00A96FB6">
      <w:pPr>
        <w:numPr>
          <w:ilvl w:val="0"/>
          <w:numId w:val="21"/>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direct historical influence,</w:t>
      </w:r>
    </w:p>
    <w:p w14:paraId="063E3951" w14:textId="77777777" w:rsidR="00A96FB6" w:rsidRPr="00662B7F" w:rsidRDefault="00A96FB6" w:rsidP="00A96FB6">
      <w:pPr>
        <w:numPr>
          <w:ilvl w:val="0"/>
          <w:numId w:val="21"/>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universal mystical sameness,</w:t>
      </w:r>
    </w:p>
    <w:p w14:paraId="1C299AE4" w14:textId="77777777" w:rsidR="00A96FB6" w:rsidRPr="00662B7F" w:rsidRDefault="00A96FB6" w:rsidP="00A96FB6">
      <w:pPr>
        <w:numPr>
          <w:ilvl w:val="0"/>
          <w:numId w:val="21"/>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or transhistorical equivalence.</w:t>
      </w:r>
    </w:p>
    <w:p w14:paraId="0327D4BB" w14:textId="77777777" w:rsidR="00A96FB6" w:rsidRDefault="00A96FB6" w:rsidP="00A96FB6">
      <w:pPr>
        <w:outlineLvl w:val="2"/>
        <w:rPr>
          <w:rFonts w:ascii="Times New Roman" w:eastAsia="Times New Roman" w:hAnsi="Times New Roman" w:cs="Times New Roman"/>
          <w:b/>
          <w:bCs/>
          <w:color w:val="000000"/>
          <w:kern w:val="0"/>
          <w:szCs w:val="24"/>
          <w:lang w:eastAsia="en-GB"/>
          <w14:ligatures w14:val="none"/>
        </w:rPr>
      </w:pPr>
    </w:p>
    <w:p w14:paraId="2A18AA61" w14:textId="77777777" w:rsidR="00A96FB6" w:rsidRPr="00662B7F" w:rsidRDefault="00A96FB6" w:rsidP="00A96FB6">
      <w:pPr>
        <w:outlineLvl w:val="2"/>
        <w:rPr>
          <w:rFonts w:ascii="Times New Roman" w:eastAsia="Times New Roman" w:hAnsi="Times New Roman" w:cs="Times New Roman"/>
          <w:b/>
          <w:bCs/>
          <w:color w:val="000000"/>
          <w:kern w:val="0"/>
          <w:szCs w:val="24"/>
          <w:lang w:eastAsia="en-GB"/>
          <w14:ligatures w14:val="none"/>
        </w:rPr>
      </w:pPr>
      <w:r w:rsidRPr="00662B7F">
        <w:rPr>
          <w:rFonts w:ascii="Times New Roman" w:eastAsia="Times New Roman" w:hAnsi="Times New Roman" w:cs="Times New Roman"/>
          <w:b/>
          <w:bCs/>
          <w:color w:val="000000"/>
          <w:kern w:val="0"/>
          <w:szCs w:val="24"/>
          <w:lang w:eastAsia="en-GB"/>
          <w14:ligatures w14:val="none"/>
        </w:rPr>
        <w:t>Limits of Historical Claims</w:t>
      </w:r>
    </w:p>
    <w:p w14:paraId="0F4D17AC"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Several important limitations must be explicitly acknowledged.</w:t>
      </w:r>
    </w:p>
    <w:p w14:paraId="1B91D018"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43E8DB72"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First, there is currently no direct historical evidence demonstrating that the specific dances described in the </w:t>
      </w:r>
      <w:r w:rsidRPr="00662B7F">
        <w:rPr>
          <w:rFonts w:ascii="Times New Roman" w:eastAsia="Times New Roman" w:hAnsi="Times New Roman" w:cs="Times New Roman"/>
          <w:i/>
          <w:iCs/>
          <w:color w:val="000000"/>
          <w:kern w:val="0"/>
          <w:szCs w:val="24"/>
          <w:lang w:eastAsia="en-GB"/>
          <w14:ligatures w14:val="none"/>
        </w:rPr>
        <w:t>Hevajratantra</w:t>
      </w:r>
      <w:r w:rsidRPr="00662B7F">
        <w:rPr>
          <w:rFonts w:ascii="Times New Roman" w:eastAsia="Times New Roman" w:hAnsi="Times New Roman" w:cs="Times New Roman"/>
          <w:color w:val="000000"/>
          <w:kern w:val="0"/>
          <w:szCs w:val="24"/>
          <w:lang w:eastAsia="en-GB"/>
          <w14:ligatures w14:val="none"/>
        </w:rPr>
        <w:t> were performed at Somapura, Mainamati, or other Pāla monasteries. The essay therefore does not claim to reconstruct an empirically verifiable choreography of tantric dance.</w:t>
      </w:r>
    </w:p>
    <w:p w14:paraId="57377D21"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06C8373B"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Second, many tantric texts intentionally employ:</w:t>
      </w:r>
    </w:p>
    <w:p w14:paraId="49FB768C" w14:textId="77777777" w:rsidR="00A96FB6" w:rsidRPr="00662B7F" w:rsidRDefault="00A96FB6" w:rsidP="00A96FB6">
      <w:pPr>
        <w:numPr>
          <w:ilvl w:val="0"/>
          <w:numId w:val="22"/>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symbolic language,</w:t>
      </w:r>
    </w:p>
    <w:p w14:paraId="4EFFC7D4" w14:textId="77777777" w:rsidR="00A96FB6" w:rsidRPr="00662B7F" w:rsidRDefault="00A96FB6" w:rsidP="00A96FB6">
      <w:pPr>
        <w:numPr>
          <w:ilvl w:val="0"/>
          <w:numId w:val="22"/>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coded speech (</w:t>
      </w:r>
      <w:r w:rsidRPr="00662B7F">
        <w:rPr>
          <w:rFonts w:ascii="Times New Roman" w:eastAsia="Times New Roman" w:hAnsi="Times New Roman" w:cs="Times New Roman"/>
          <w:i/>
          <w:iCs/>
          <w:color w:val="000000"/>
          <w:kern w:val="0"/>
          <w:szCs w:val="24"/>
          <w:lang w:eastAsia="en-GB"/>
          <w14:ligatures w14:val="none"/>
        </w:rPr>
        <w:t>sandhyābhāṣā</w:t>
      </w:r>
      <w:r w:rsidRPr="00662B7F">
        <w:rPr>
          <w:rFonts w:ascii="Times New Roman" w:eastAsia="Times New Roman" w:hAnsi="Times New Roman" w:cs="Times New Roman"/>
          <w:color w:val="000000"/>
          <w:kern w:val="0"/>
          <w:szCs w:val="24"/>
          <w:lang w:eastAsia="en-GB"/>
          <w14:ligatures w14:val="none"/>
        </w:rPr>
        <w:t>),</w:t>
      </w:r>
    </w:p>
    <w:p w14:paraId="45A1EA3B" w14:textId="77777777" w:rsidR="00A96FB6" w:rsidRPr="00662B7F" w:rsidRDefault="00A96FB6" w:rsidP="00A96FB6">
      <w:pPr>
        <w:numPr>
          <w:ilvl w:val="0"/>
          <w:numId w:val="22"/>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ambiguity,</w:t>
      </w:r>
    </w:p>
    <w:p w14:paraId="6FA3A795" w14:textId="77777777" w:rsidR="00A96FB6" w:rsidRPr="00662B7F" w:rsidRDefault="00A96FB6" w:rsidP="00A96FB6">
      <w:pPr>
        <w:numPr>
          <w:ilvl w:val="0"/>
          <w:numId w:val="22"/>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and initiatory secrecy.</w:t>
      </w:r>
    </w:p>
    <w:p w14:paraId="7460EA46"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Consequently, it is often difficult to determine where metaphor ends and literal ritual instruction begins.</w:t>
      </w:r>
    </w:p>
    <w:p w14:paraId="450875E4" w14:textId="77777777" w:rsidR="00A96FB6" w:rsidRDefault="00A96FB6" w:rsidP="00A96FB6">
      <w:pPr>
        <w:rPr>
          <w:rFonts w:ascii="Times New Roman" w:eastAsia="Times New Roman" w:hAnsi="Times New Roman" w:cs="Times New Roman"/>
          <w:color w:val="000000"/>
          <w:kern w:val="0"/>
          <w:szCs w:val="24"/>
          <w:lang w:eastAsia="en-GB"/>
          <w14:ligatures w14:val="none"/>
        </w:rPr>
      </w:pPr>
    </w:p>
    <w:p w14:paraId="709F8C68"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Third, the Siddhācārya biographies preserved in later Tibetan and vernacular traditions combine historical memory, hagiography, mythic elaboration, and symbolic narrative. These materials therefore cannot be treated as straightforward documentary evidence.</w:t>
      </w:r>
    </w:p>
    <w:p w14:paraId="33DA7728"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Fourth, the relationship between Buddhist Tantra and lived social practice remains difficult to reconstruct. Textual celebration of transgression or feminine power does not necessarily indicate widespread institutional practice or social equality.</w:t>
      </w:r>
    </w:p>
    <w:p w14:paraId="5F19F94B"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Fifth, phenomenological claims concerning experiences such as:</w:t>
      </w:r>
    </w:p>
    <w:p w14:paraId="027DA231" w14:textId="77777777" w:rsidR="00A96FB6" w:rsidRPr="00662B7F" w:rsidRDefault="00A96FB6" w:rsidP="00A96FB6">
      <w:pPr>
        <w:numPr>
          <w:ilvl w:val="0"/>
          <w:numId w:val="23"/>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mahāsukha</w:t>
      </w:r>
      <w:r w:rsidRPr="00662B7F">
        <w:rPr>
          <w:rFonts w:ascii="Times New Roman" w:eastAsia="Times New Roman" w:hAnsi="Times New Roman" w:cs="Times New Roman"/>
          <w:color w:val="000000"/>
          <w:kern w:val="0"/>
          <w:szCs w:val="24"/>
          <w:lang w:eastAsia="en-GB"/>
          <w14:ligatures w14:val="none"/>
        </w:rPr>
        <w:t>,</w:t>
      </w:r>
    </w:p>
    <w:p w14:paraId="28C3F384" w14:textId="77777777" w:rsidR="00A96FB6" w:rsidRPr="00662B7F" w:rsidRDefault="00A96FB6" w:rsidP="00A96FB6">
      <w:pPr>
        <w:numPr>
          <w:ilvl w:val="0"/>
          <w:numId w:val="23"/>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i/>
          <w:iCs/>
          <w:color w:val="000000"/>
          <w:kern w:val="0"/>
          <w:szCs w:val="24"/>
          <w:lang w:eastAsia="en-GB"/>
          <w14:ligatures w14:val="none"/>
        </w:rPr>
        <w:t>sahaja</w:t>
      </w:r>
      <w:r w:rsidRPr="00662B7F">
        <w:rPr>
          <w:rFonts w:ascii="Times New Roman" w:eastAsia="Times New Roman" w:hAnsi="Times New Roman" w:cs="Times New Roman"/>
          <w:color w:val="000000"/>
          <w:kern w:val="0"/>
          <w:szCs w:val="24"/>
          <w:lang w:eastAsia="en-GB"/>
          <w14:ligatures w14:val="none"/>
        </w:rPr>
        <w:t>,</w:t>
      </w:r>
    </w:p>
    <w:p w14:paraId="0061CDE6" w14:textId="77777777" w:rsidR="00A96FB6" w:rsidRPr="00662B7F" w:rsidRDefault="00A96FB6" w:rsidP="00A96FB6">
      <w:pPr>
        <w:numPr>
          <w:ilvl w:val="0"/>
          <w:numId w:val="23"/>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ego dissolution,</w:t>
      </w:r>
    </w:p>
    <w:p w14:paraId="4324AAD9" w14:textId="77777777" w:rsidR="00A96FB6" w:rsidRPr="00662B7F" w:rsidRDefault="00A96FB6" w:rsidP="00A96FB6">
      <w:pPr>
        <w:numPr>
          <w:ilvl w:val="0"/>
          <w:numId w:val="23"/>
        </w:num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or ritual transformation</w:t>
      </w:r>
    </w:p>
    <w:p w14:paraId="70BB2CCF"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cannot be empirically verified historically. Such claims are therefore treated as internal religious and contemplative assertions rather than objective psychological facts.</w:t>
      </w:r>
    </w:p>
    <w:p w14:paraId="57B2F197"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Finally, this essay does not claim that “performed liberation” constitutes a universally accepted category within Buddhist traditions. Rather, it is proposed as a heuristic interpretive framework for understanding the embodied ritual logic of the </w:t>
      </w:r>
      <w:r w:rsidRPr="00662B7F">
        <w:rPr>
          <w:rFonts w:ascii="Times New Roman" w:eastAsia="Times New Roman" w:hAnsi="Times New Roman" w:cs="Times New Roman"/>
          <w:i/>
          <w:iCs/>
          <w:color w:val="000000"/>
          <w:kern w:val="0"/>
          <w:szCs w:val="24"/>
          <w:lang w:eastAsia="en-GB"/>
          <w14:ligatures w14:val="none"/>
        </w:rPr>
        <w:t>Caryāpaṭala</w:t>
      </w:r>
      <w:r w:rsidRPr="00662B7F">
        <w:rPr>
          <w:rFonts w:ascii="Times New Roman" w:eastAsia="Times New Roman" w:hAnsi="Times New Roman" w:cs="Times New Roman"/>
          <w:color w:val="000000"/>
          <w:kern w:val="0"/>
          <w:szCs w:val="24"/>
          <w:lang w:eastAsia="en-GB"/>
          <w14:ligatures w14:val="none"/>
        </w:rPr>
        <w:t> and related Yoginītantra traditions.</w:t>
      </w:r>
    </w:p>
    <w:p w14:paraId="06EB1962" w14:textId="77777777" w:rsidR="00A96FB6" w:rsidRPr="00662B7F" w:rsidRDefault="00A96FB6" w:rsidP="00A96FB6">
      <w:pPr>
        <w:rPr>
          <w:rFonts w:ascii="Times New Roman" w:eastAsia="Times New Roman" w:hAnsi="Times New Roman" w:cs="Times New Roman"/>
          <w:color w:val="000000"/>
          <w:kern w:val="0"/>
          <w:szCs w:val="24"/>
          <w:lang w:eastAsia="en-GB"/>
          <w14:ligatures w14:val="none"/>
        </w:rPr>
      </w:pPr>
      <w:r w:rsidRPr="00662B7F">
        <w:rPr>
          <w:rFonts w:ascii="Times New Roman" w:eastAsia="Times New Roman" w:hAnsi="Times New Roman" w:cs="Times New Roman"/>
          <w:color w:val="000000"/>
          <w:kern w:val="0"/>
          <w:szCs w:val="24"/>
          <w:lang w:eastAsia="en-GB"/>
          <w14:ligatures w14:val="none"/>
        </w:rPr>
        <w:t>The methodological position of this essay is therefore intentionally balanced between interpretive openness and historical caution. Its aim is not to romanticize Tantra nor to reduce it to symbolic abstraction, but to explore how body, ritual, movement, sound, and contemplative practice interacted within the tantric Buddhist imagination of medieval South Asia.</w:t>
      </w:r>
    </w:p>
    <w:p w14:paraId="04396AD2" w14:textId="77777777" w:rsidR="00A96FB6" w:rsidRPr="00662B7F" w:rsidRDefault="00A96FB6" w:rsidP="00A96FB6">
      <w:pPr>
        <w:rPr>
          <w:szCs w:val="24"/>
        </w:rPr>
      </w:pPr>
    </w:p>
    <w:p w14:paraId="774AA5FF" w14:textId="77777777" w:rsidR="0013210C" w:rsidRDefault="0013210C" w:rsidP="00AF49A4">
      <w:pPr>
        <w:outlineLvl w:val="1"/>
        <w:rPr>
          <w:rFonts w:ascii="Times New Roman" w:eastAsia="Times New Roman" w:hAnsi="Times New Roman" w:cs="Times New Roman"/>
          <w:b/>
          <w:bCs/>
          <w:color w:val="000000"/>
          <w:kern w:val="0"/>
          <w:sz w:val="28"/>
          <w:szCs w:val="28"/>
          <w:lang w:eastAsia="en-GB"/>
          <w14:ligatures w14:val="none"/>
        </w:rPr>
      </w:pPr>
      <w:r w:rsidRPr="00AF49A4">
        <w:rPr>
          <w:rFonts w:ascii="Times New Roman" w:eastAsia="Times New Roman" w:hAnsi="Times New Roman" w:cs="Times New Roman"/>
          <w:b/>
          <w:bCs/>
          <w:color w:val="000000"/>
          <w:kern w:val="0"/>
          <w:sz w:val="28"/>
          <w:szCs w:val="28"/>
          <w:lang w:eastAsia="en-GB"/>
          <w14:ligatures w14:val="none"/>
        </w:rPr>
        <w:t>Pratītyasamutpāda: The Ontological Foundation of the Discussion</w:t>
      </w:r>
    </w:p>
    <w:p w14:paraId="42A32454" w14:textId="77777777" w:rsidR="00AF49A4" w:rsidRPr="00AF49A4" w:rsidRDefault="00AF49A4" w:rsidP="00AF49A4">
      <w:pPr>
        <w:outlineLvl w:val="1"/>
        <w:rPr>
          <w:rFonts w:ascii="Times New Roman" w:eastAsia="Times New Roman" w:hAnsi="Times New Roman" w:cs="Times New Roman"/>
          <w:b/>
          <w:bCs/>
          <w:color w:val="000000"/>
          <w:kern w:val="0"/>
          <w:sz w:val="28"/>
          <w:szCs w:val="28"/>
          <w:lang w:eastAsia="en-GB"/>
          <w14:ligatures w14:val="none"/>
        </w:rPr>
      </w:pPr>
    </w:p>
    <w:p w14:paraId="05CF26A5" w14:textId="77777777" w:rsidR="0013210C" w:rsidRP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The philosophical foundation of this essay lies in the central Buddhist doctrine of </w:t>
      </w:r>
      <w:r w:rsidRPr="0013210C">
        <w:rPr>
          <w:rFonts w:ascii="Times New Roman" w:eastAsia="Times New Roman" w:hAnsi="Times New Roman" w:cs="Times New Roman"/>
          <w:i/>
          <w:iCs/>
          <w:color w:val="000000"/>
          <w:kern w:val="0"/>
          <w:szCs w:val="24"/>
          <w:lang w:eastAsia="en-GB"/>
          <w14:ligatures w14:val="none"/>
        </w:rPr>
        <w:t>pratītyasamutpāda</w:t>
      </w:r>
      <w:r w:rsidRPr="0013210C">
        <w:rPr>
          <w:rFonts w:ascii="Times New Roman" w:eastAsia="Times New Roman" w:hAnsi="Times New Roman" w:cs="Times New Roman"/>
          <w:color w:val="000000"/>
          <w:kern w:val="0"/>
          <w:szCs w:val="24"/>
          <w:lang w:eastAsia="en-GB"/>
          <w14:ligatures w14:val="none"/>
        </w:rPr>
        <w:t> (dependent origination). Following his awakening, the Buddha is said to have realized the following truth:</w:t>
      </w:r>
    </w:p>
    <w:p w14:paraId="0C21D800" w14:textId="77777777" w:rsidR="00AF49A4" w:rsidRPr="00AF49A4" w:rsidRDefault="00AF49A4" w:rsidP="00AF49A4">
      <w:pPr>
        <w:pStyle w:val="NormalWeb"/>
        <w:spacing w:before="0" w:beforeAutospacing="0" w:after="0" w:afterAutospacing="0"/>
        <w:rPr>
          <w:rFonts w:cs="Mangal"/>
          <w:b/>
          <w:bCs/>
          <w:color w:val="000000"/>
          <w:lang w:bidi="hi-IN"/>
        </w:rPr>
      </w:pPr>
      <w:r w:rsidRPr="00AF49A4">
        <w:rPr>
          <w:rFonts w:cs="Mangal"/>
          <w:b/>
          <w:bCs/>
          <w:color w:val="000000"/>
          <w:cs/>
          <w:lang w:bidi="hi-IN"/>
        </w:rPr>
        <w:t>यः प्रतीत्यसमुत्पादं पश्यति स धर्मं पश्यति ।</w:t>
      </w:r>
    </w:p>
    <w:p w14:paraId="2B3FD3D8" w14:textId="27CD5AD1" w:rsidR="00AF49A4" w:rsidRPr="00AF49A4" w:rsidRDefault="00AF49A4" w:rsidP="00AF49A4">
      <w:pPr>
        <w:pStyle w:val="NormalWeb"/>
        <w:spacing w:before="0" w:beforeAutospacing="0" w:after="0" w:afterAutospacing="0"/>
        <w:rPr>
          <w:b/>
          <w:bCs/>
          <w:color w:val="000000"/>
        </w:rPr>
      </w:pPr>
      <w:r w:rsidRPr="00AF49A4">
        <w:rPr>
          <w:rFonts w:cs="Mangal"/>
          <w:b/>
          <w:bCs/>
          <w:color w:val="000000"/>
          <w:cs/>
          <w:lang w:bidi="hi-IN"/>
        </w:rPr>
        <w:t>यः धर्मं पश्यति स बुद्धं पश्यति ॥</w:t>
      </w:r>
    </w:p>
    <w:p w14:paraId="5DE9D14D" w14:textId="096823D6" w:rsidR="0013210C" w:rsidRP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Transliteration:</w:t>
      </w:r>
    </w:p>
    <w:p w14:paraId="6E0F6171" w14:textId="77777777" w:rsidR="0013210C" w:rsidRP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i/>
          <w:iCs/>
          <w:color w:val="000000"/>
          <w:kern w:val="0"/>
          <w:szCs w:val="24"/>
          <w:lang w:eastAsia="en-GB"/>
          <w14:ligatures w14:val="none"/>
        </w:rPr>
        <w:t>Yaḥ pratītyasamutpādaṃ paśyati sa dharmaṃ paśyati;</w:t>
      </w:r>
      <w:r w:rsidRPr="0013210C">
        <w:rPr>
          <w:rFonts w:ascii="Times New Roman" w:eastAsia="Times New Roman" w:hAnsi="Times New Roman" w:cs="Times New Roman"/>
          <w:i/>
          <w:iCs/>
          <w:color w:val="000000"/>
          <w:kern w:val="0"/>
          <w:szCs w:val="24"/>
          <w:lang w:eastAsia="en-GB"/>
          <w14:ligatures w14:val="none"/>
        </w:rPr>
        <w:br/>
        <w:t>yaḥ dharmaṃ paśyati sa buddhaṃ paśyati.</w:t>
      </w:r>
    </w:p>
    <w:p w14:paraId="5F1A3086" w14:textId="77777777" w:rsidR="0013210C" w:rsidRP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Translation:</w:t>
      </w:r>
    </w:p>
    <w:p w14:paraId="0AC463EB"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“He who sees dependent origination sees the Dharma;</w:t>
      </w:r>
      <w:r w:rsidRPr="0013210C">
        <w:rPr>
          <w:rFonts w:ascii="Times New Roman" w:eastAsia="Times New Roman" w:hAnsi="Times New Roman" w:cs="Times New Roman"/>
          <w:color w:val="000000"/>
          <w:kern w:val="0"/>
          <w:szCs w:val="24"/>
          <w:lang w:eastAsia="en-GB"/>
          <w14:ligatures w14:val="none"/>
        </w:rPr>
        <w:br/>
        <w:t>he who sees the Dharma sees the Buddha.”</w:t>
      </w:r>
    </w:p>
    <w:p w14:paraId="25C19F42" w14:textId="77777777" w:rsidR="00AF49A4" w:rsidRPr="0013210C" w:rsidRDefault="00AF49A4" w:rsidP="00AF49A4">
      <w:pPr>
        <w:rPr>
          <w:rFonts w:ascii="Times New Roman" w:eastAsia="Times New Roman" w:hAnsi="Times New Roman" w:cs="Times New Roman"/>
          <w:color w:val="000000"/>
          <w:kern w:val="0"/>
          <w:szCs w:val="24"/>
          <w:lang w:eastAsia="en-GB"/>
          <w14:ligatures w14:val="none"/>
        </w:rPr>
      </w:pPr>
    </w:p>
    <w:p w14:paraId="2B39DCAE"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This well-known statement, preserved in the Buddhist canonical tradition (see </w:t>
      </w:r>
      <w:r w:rsidRPr="0013210C">
        <w:rPr>
          <w:rFonts w:ascii="Times New Roman" w:eastAsia="Times New Roman" w:hAnsi="Times New Roman" w:cs="Times New Roman"/>
          <w:i/>
          <w:iCs/>
          <w:color w:val="000000"/>
          <w:kern w:val="0"/>
          <w:szCs w:val="24"/>
          <w:lang w:eastAsia="en-GB"/>
          <w14:ligatures w14:val="none"/>
        </w:rPr>
        <w:t>Majjhima Nikāya</w:t>
      </w:r>
      <w:r w:rsidRPr="0013210C">
        <w:rPr>
          <w:rFonts w:ascii="Times New Roman" w:eastAsia="Times New Roman" w:hAnsi="Times New Roman" w:cs="Times New Roman"/>
          <w:color w:val="000000"/>
          <w:kern w:val="0"/>
          <w:szCs w:val="24"/>
          <w:lang w:eastAsia="en-GB"/>
          <w14:ligatures w14:val="none"/>
        </w:rPr>
        <w:t> 28), establishes that all phenomena arise dependently through causes and conditions. Therefore, all conditioned realities are impermanent (</w:t>
      </w:r>
      <w:r w:rsidRPr="0013210C">
        <w:rPr>
          <w:rFonts w:ascii="Times New Roman" w:eastAsia="Times New Roman" w:hAnsi="Times New Roman" w:cs="Times New Roman"/>
          <w:i/>
          <w:iCs/>
          <w:color w:val="000000"/>
          <w:kern w:val="0"/>
          <w:szCs w:val="24"/>
          <w:lang w:eastAsia="en-GB"/>
          <w14:ligatures w14:val="none"/>
        </w:rPr>
        <w:t>anitya</w:t>
      </w:r>
      <w:r w:rsidRPr="0013210C">
        <w:rPr>
          <w:rFonts w:ascii="Times New Roman" w:eastAsia="Times New Roman" w:hAnsi="Times New Roman" w:cs="Times New Roman"/>
          <w:color w:val="000000"/>
          <w:kern w:val="0"/>
          <w:szCs w:val="24"/>
          <w:lang w:eastAsia="en-GB"/>
          <w14:ligatures w14:val="none"/>
        </w:rPr>
        <w:t>) and empty (</w:t>
      </w:r>
      <w:r w:rsidRPr="0013210C">
        <w:rPr>
          <w:rFonts w:ascii="Times New Roman" w:eastAsia="Times New Roman" w:hAnsi="Times New Roman" w:cs="Times New Roman"/>
          <w:i/>
          <w:iCs/>
          <w:color w:val="000000"/>
          <w:kern w:val="0"/>
          <w:szCs w:val="24"/>
          <w:lang w:eastAsia="en-GB"/>
          <w14:ligatures w14:val="none"/>
        </w:rPr>
        <w:t>śūnya</w:t>
      </w:r>
      <w:r w:rsidRPr="0013210C">
        <w:rPr>
          <w:rFonts w:ascii="Times New Roman" w:eastAsia="Times New Roman" w:hAnsi="Times New Roman" w:cs="Times New Roman"/>
          <w:color w:val="000000"/>
          <w:kern w:val="0"/>
          <w:szCs w:val="24"/>
          <w:lang w:eastAsia="en-GB"/>
          <w14:ligatures w14:val="none"/>
        </w:rPr>
        <w:t>) of inherent existence.</w:t>
      </w:r>
    </w:p>
    <w:p w14:paraId="6F127B51" w14:textId="2E3D7294" w:rsidR="006C3253" w:rsidRPr="0013210C" w:rsidRDefault="006C3253" w:rsidP="00AF49A4">
      <w:pPr>
        <w:rPr>
          <w:rFonts w:ascii="Times New Roman" w:eastAsia="Times New Roman" w:hAnsi="Times New Roman" w:cs="Times New Roman"/>
          <w:color w:val="000000"/>
          <w:kern w:val="0"/>
          <w:szCs w:val="24"/>
          <w:lang w:eastAsia="en-GB"/>
          <w14:ligatures w14:val="none"/>
        </w:rPr>
      </w:pPr>
    </w:p>
    <w:p w14:paraId="06F08ACD" w14:textId="7BB9CA44"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From this perspective, even scripture (</w:t>
      </w:r>
      <w:r w:rsidRPr="0013210C">
        <w:rPr>
          <w:rFonts w:ascii="Times New Roman" w:eastAsia="Times New Roman" w:hAnsi="Times New Roman" w:cs="Times New Roman"/>
          <w:i/>
          <w:iCs/>
          <w:color w:val="000000"/>
          <w:kern w:val="0"/>
          <w:szCs w:val="24"/>
          <w:lang w:eastAsia="en-GB"/>
          <w14:ligatures w14:val="none"/>
        </w:rPr>
        <w:t>śāstra</w:t>
      </w:r>
      <w:r w:rsidRPr="0013210C">
        <w:rPr>
          <w:rFonts w:ascii="Times New Roman" w:eastAsia="Times New Roman" w:hAnsi="Times New Roman" w:cs="Times New Roman"/>
          <w:color w:val="000000"/>
          <w:kern w:val="0"/>
          <w:szCs w:val="24"/>
          <w:lang w:eastAsia="en-GB"/>
          <w14:ligatures w14:val="none"/>
        </w:rPr>
        <w:t>) and monastic discipline (</w:t>
      </w:r>
      <w:r w:rsidRPr="0013210C">
        <w:rPr>
          <w:rFonts w:ascii="Times New Roman" w:eastAsia="Times New Roman" w:hAnsi="Times New Roman" w:cs="Times New Roman"/>
          <w:i/>
          <w:iCs/>
          <w:color w:val="000000"/>
          <w:kern w:val="0"/>
          <w:szCs w:val="24"/>
          <w:lang w:eastAsia="en-GB"/>
          <w14:ligatures w14:val="none"/>
        </w:rPr>
        <w:t>vinaya</w:t>
      </w:r>
      <w:r w:rsidRPr="0013210C">
        <w:rPr>
          <w:rFonts w:ascii="Times New Roman" w:eastAsia="Times New Roman" w:hAnsi="Times New Roman" w:cs="Times New Roman"/>
          <w:color w:val="000000"/>
          <w:kern w:val="0"/>
          <w:szCs w:val="24"/>
          <w:lang w:eastAsia="en-GB"/>
          <w14:ligatures w14:val="none"/>
        </w:rPr>
        <w:t>) are themselves contingent constructions produced through specific historical, cultural, and mental conditions. They therefore possess no eternal or transcendent authority. This insight also applies to 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itself. In moments of dance and song, the practitioner directly experiences this truth through embodied awareness rather than conceptual abstraction. Such immediacy corresponds to the Buddha’s famous invitation: </w:t>
      </w:r>
      <w:r w:rsidRPr="0013210C">
        <w:rPr>
          <w:rFonts w:ascii="Times New Roman" w:eastAsia="Times New Roman" w:hAnsi="Times New Roman" w:cs="Times New Roman"/>
          <w:i/>
          <w:iCs/>
          <w:color w:val="000000"/>
          <w:kern w:val="0"/>
          <w:szCs w:val="24"/>
          <w:lang w:eastAsia="en-GB"/>
          <w14:ligatures w14:val="none"/>
        </w:rPr>
        <w:t>ehipaśyika</w:t>
      </w:r>
      <w:r w:rsidR="00B34612">
        <w:rPr>
          <w:rStyle w:val="EndnoteReference"/>
          <w:rFonts w:ascii="Times New Roman" w:eastAsia="Times New Roman" w:hAnsi="Times New Roman" w:cs="Times New Roman"/>
          <w:i/>
          <w:iCs/>
          <w:color w:val="000000"/>
          <w:kern w:val="0"/>
          <w:szCs w:val="24"/>
          <w:lang w:eastAsia="en-GB"/>
          <w14:ligatures w14:val="none"/>
        </w:rPr>
        <w:endnoteReference w:id="1"/>
      </w:r>
      <w:r w:rsidRPr="0013210C">
        <w:rPr>
          <w:rFonts w:ascii="Times New Roman" w:eastAsia="Times New Roman" w:hAnsi="Times New Roman" w:cs="Times New Roman"/>
          <w:color w:val="000000"/>
          <w:kern w:val="0"/>
          <w:szCs w:val="24"/>
          <w:lang w:eastAsia="en-GB"/>
          <w14:ligatures w14:val="none"/>
        </w:rPr>
        <w:t>—“come and see for yourself</w:t>
      </w:r>
    </w:p>
    <w:p w14:paraId="057C21F0" w14:textId="3FA4FE10" w:rsidR="00AF49A4" w:rsidRPr="002051B7" w:rsidRDefault="00AF49A4" w:rsidP="00AF49A4">
      <w:pPr>
        <w:rPr>
          <w:rFonts w:ascii="Times New Roman" w:eastAsia="Times New Roman" w:hAnsi="Times New Roman" w:cs="Times New Roman"/>
          <w:color w:val="000000"/>
          <w:kern w:val="0"/>
          <w:szCs w:val="24"/>
          <w:lang w:eastAsia="en-GB"/>
          <w14:ligatures w14:val="none"/>
        </w:rPr>
      </w:pPr>
    </w:p>
    <w:p w14:paraId="55098ED9" w14:textId="79C0AB43" w:rsidR="0013210C" w:rsidRPr="00AF49A4" w:rsidRDefault="0013210C" w:rsidP="00AF49A4">
      <w:pPr>
        <w:outlineLvl w:val="1"/>
        <w:rPr>
          <w:rFonts w:ascii="Times New Roman" w:eastAsia="Times New Roman" w:hAnsi="Times New Roman" w:cs="Times New Roman"/>
          <w:b/>
          <w:bCs/>
          <w:color w:val="000000"/>
          <w:kern w:val="0"/>
          <w:sz w:val="28"/>
          <w:szCs w:val="28"/>
          <w:lang w:eastAsia="en-GB"/>
          <w14:ligatures w14:val="none"/>
        </w:rPr>
      </w:pPr>
      <w:r w:rsidRPr="00AF49A4">
        <w:rPr>
          <w:rFonts w:ascii="Times New Roman" w:eastAsia="Times New Roman" w:hAnsi="Times New Roman" w:cs="Times New Roman"/>
          <w:b/>
          <w:bCs/>
          <w:color w:val="000000"/>
          <w:kern w:val="0"/>
          <w:sz w:val="28"/>
          <w:szCs w:val="28"/>
          <w:lang w:eastAsia="en-GB"/>
          <w14:ligatures w14:val="none"/>
        </w:rPr>
        <w:t>1. “Performed Liberation”: The Central Argument</w:t>
      </w:r>
    </w:p>
    <w:p w14:paraId="6AB9F365" w14:textId="54527A95" w:rsidR="0013210C" w:rsidRDefault="009013F0" w:rsidP="009013F0">
      <w:pPr>
        <w:rPr>
          <w:rFonts w:ascii="Times New Roman" w:eastAsia="Times New Roman" w:hAnsi="Times New Roman" w:cs="Times New Roman"/>
          <w:color w:val="000000"/>
          <w:kern w:val="0"/>
          <w:szCs w:val="24"/>
          <w:lang w:eastAsia="en-GB"/>
          <w14:ligatures w14:val="none"/>
        </w:rPr>
      </w:pPr>
      <w:r w:rsidRPr="009013F0">
        <w:rPr>
          <w:rFonts w:ascii="-webkit-standard" w:hAnsi="-webkit-standard"/>
          <w:color w:val="000000"/>
          <w:szCs w:val="24"/>
        </w:rPr>
        <w:t xml:space="preserve">The most pertinent explication offered in this essay is the formulation of the concept of “performed liberation.” </w:t>
      </w:r>
      <w:r w:rsidR="0013210C" w:rsidRPr="009013F0">
        <w:rPr>
          <w:rFonts w:ascii="Times New Roman" w:eastAsia="Times New Roman" w:hAnsi="Times New Roman" w:cs="Times New Roman"/>
          <w:color w:val="000000"/>
          <w:kern w:val="0"/>
          <w:szCs w:val="24"/>
          <w:lang w:eastAsia="en-GB"/>
          <w14:ligatures w14:val="none"/>
        </w:rPr>
        <w:t>In contrast to the </w:t>
      </w:r>
      <w:r w:rsidR="0013210C" w:rsidRPr="009013F0">
        <w:rPr>
          <w:rFonts w:ascii="Times New Roman" w:eastAsia="Times New Roman" w:hAnsi="Times New Roman" w:cs="Times New Roman"/>
          <w:i/>
          <w:iCs/>
          <w:color w:val="000000"/>
          <w:kern w:val="0"/>
          <w:szCs w:val="24"/>
          <w:lang w:eastAsia="en-GB"/>
          <w14:ligatures w14:val="none"/>
        </w:rPr>
        <w:t>Nāṭyaśāstra</w:t>
      </w:r>
      <w:r w:rsidR="0013210C" w:rsidRPr="009013F0">
        <w:rPr>
          <w:rFonts w:ascii="Times New Roman" w:eastAsia="Times New Roman" w:hAnsi="Times New Roman" w:cs="Times New Roman"/>
          <w:color w:val="000000"/>
          <w:kern w:val="0"/>
          <w:szCs w:val="24"/>
          <w:lang w:eastAsia="en-GB"/>
          <w14:ligatures w14:val="none"/>
        </w:rPr>
        <w:t>, which privileges representation (</w:t>
      </w:r>
      <w:r w:rsidR="0013210C" w:rsidRPr="009013F0">
        <w:rPr>
          <w:rFonts w:ascii="Times New Roman" w:eastAsia="Times New Roman" w:hAnsi="Times New Roman" w:cs="Times New Roman"/>
          <w:i/>
          <w:iCs/>
          <w:color w:val="000000"/>
          <w:kern w:val="0"/>
          <w:szCs w:val="24"/>
          <w:lang w:eastAsia="en-GB"/>
          <w14:ligatures w14:val="none"/>
        </w:rPr>
        <w:t>anukṛti</w:t>
      </w:r>
      <w:r w:rsidR="0013210C" w:rsidRPr="009013F0">
        <w:rPr>
          <w:rFonts w:ascii="Times New Roman" w:eastAsia="Times New Roman" w:hAnsi="Times New Roman" w:cs="Times New Roman"/>
          <w:color w:val="000000"/>
          <w:kern w:val="0"/>
          <w:szCs w:val="24"/>
          <w:lang w:eastAsia="en-GB"/>
          <w14:ligatures w14:val="none"/>
        </w:rPr>
        <w:t>) and aesthetic relish (</w:t>
      </w:r>
      <w:r w:rsidR="0013210C" w:rsidRPr="009013F0">
        <w:rPr>
          <w:rFonts w:ascii="Times New Roman" w:eastAsia="Times New Roman" w:hAnsi="Times New Roman" w:cs="Times New Roman"/>
          <w:i/>
          <w:iCs/>
          <w:color w:val="000000"/>
          <w:kern w:val="0"/>
          <w:szCs w:val="24"/>
          <w:lang w:eastAsia="en-GB"/>
          <w14:ligatures w14:val="none"/>
        </w:rPr>
        <w:t>rasa</w:t>
      </w:r>
      <w:r w:rsidR="0013210C" w:rsidRPr="009013F0">
        <w:rPr>
          <w:rFonts w:ascii="Times New Roman" w:eastAsia="Times New Roman" w:hAnsi="Times New Roman" w:cs="Times New Roman"/>
          <w:color w:val="000000"/>
          <w:kern w:val="0"/>
          <w:szCs w:val="24"/>
          <w:lang w:eastAsia="en-GB"/>
          <w14:ligatures w14:val="none"/>
        </w:rPr>
        <w:t>), the </w:t>
      </w:r>
      <w:r w:rsidR="0013210C" w:rsidRPr="009013F0">
        <w:rPr>
          <w:rFonts w:ascii="Times New Roman" w:eastAsia="Times New Roman" w:hAnsi="Times New Roman" w:cs="Times New Roman"/>
          <w:i/>
          <w:iCs/>
          <w:color w:val="000000"/>
          <w:kern w:val="0"/>
          <w:szCs w:val="24"/>
          <w:lang w:eastAsia="en-GB"/>
          <w14:ligatures w14:val="none"/>
        </w:rPr>
        <w:t>Hevajratantra</w:t>
      </w:r>
      <w:r w:rsidR="0013210C" w:rsidRPr="009013F0">
        <w:rPr>
          <w:rFonts w:ascii="Times New Roman" w:eastAsia="Times New Roman" w:hAnsi="Times New Roman" w:cs="Times New Roman"/>
          <w:color w:val="000000"/>
          <w:kern w:val="0"/>
          <w:szCs w:val="24"/>
          <w:lang w:eastAsia="en-GB"/>
          <w14:ligatures w14:val="none"/>
        </w:rPr>
        <w:t> foregrounds direct realization (</w:t>
      </w:r>
      <w:r w:rsidR="0013210C" w:rsidRPr="009013F0">
        <w:rPr>
          <w:rFonts w:ascii="Times New Roman" w:eastAsia="Times New Roman" w:hAnsi="Times New Roman" w:cs="Times New Roman"/>
          <w:i/>
          <w:iCs/>
          <w:color w:val="000000"/>
          <w:kern w:val="0"/>
          <w:szCs w:val="24"/>
          <w:lang w:eastAsia="en-GB"/>
          <w14:ligatures w14:val="none"/>
        </w:rPr>
        <w:t>darśana</w:t>
      </w:r>
      <w:r w:rsidR="0013210C" w:rsidRPr="009013F0">
        <w:rPr>
          <w:rFonts w:ascii="Times New Roman" w:eastAsia="Times New Roman" w:hAnsi="Times New Roman" w:cs="Times New Roman"/>
          <w:color w:val="000000"/>
          <w:kern w:val="0"/>
          <w:szCs w:val="24"/>
          <w:lang w:eastAsia="en-GB"/>
          <w14:ligatures w14:val="none"/>
        </w:rPr>
        <w:t>) and </w:t>
      </w:r>
      <w:r w:rsidR="0013210C" w:rsidRPr="009013F0">
        <w:rPr>
          <w:rFonts w:ascii="Times New Roman" w:eastAsia="Times New Roman" w:hAnsi="Times New Roman" w:cs="Times New Roman"/>
          <w:i/>
          <w:iCs/>
          <w:color w:val="000000"/>
          <w:kern w:val="0"/>
          <w:szCs w:val="24"/>
          <w:lang w:eastAsia="en-GB"/>
          <w14:ligatures w14:val="none"/>
        </w:rPr>
        <w:t>mahāsukha</w:t>
      </w:r>
      <w:r w:rsidR="0013210C" w:rsidRPr="009013F0">
        <w:rPr>
          <w:rFonts w:ascii="Times New Roman" w:eastAsia="Times New Roman" w:hAnsi="Times New Roman" w:cs="Times New Roman"/>
          <w:color w:val="000000"/>
          <w:kern w:val="0"/>
          <w:szCs w:val="24"/>
          <w:lang w:eastAsia="en-GB"/>
          <w14:ligatures w14:val="none"/>
        </w:rPr>
        <w:t> (“great bliss”).</w:t>
      </w:r>
    </w:p>
    <w:p w14:paraId="4F95FCAA" w14:textId="28FACD8E" w:rsidR="00184317" w:rsidRDefault="00A96FB6" w:rsidP="009013F0">
      <w:pPr>
        <w:rPr>
          <w:rFonts w:ascii="Times New Roman" w:eastAsia="Times New Roman" w:hAnsi="Times New Roman" w:cs="Times New Roman"/>
          <w:color w:val="000000"/>
          <w:kern w:val="0"/>
          <w:szCs w:val="24"/>
          <w:lang w:eastAsia="en-GB"/>
          <w14:ligatures w14:val="none"/>
        </w:rPr>
      </w:pPr>
      <w:r>
        <w:rPr>
          <w:rFonts w:ascii="Times New Roman" w:eastAsia="Times New Roman" w:hAnsi="Times New Roman" w:cs="Times New Roman"/>
          <w:b/>
          <w:bCs/>
          <w:strike/>
          <w:noProof/>
          <w:color w:val="000000"/>
          <w:kern w:val="0"/>
          <w:sz w:val="36"/>
          <w:szCs w:val="36"/>
          <w:lang w:eastAsia="en-GB"/>
        </w:rPr>
        <w:lastRenderedPageBreak/>
        <w:drawing>
          <wp:anchor distT="0" distB="0" distL="114300" distR="114300" simplePos="0" relativeHeight="251662336" behindDoc="1" locked="0" layoutInCell="1" allowOverlap="1" wp14:anchorId="71C28C3F" wp14:editId="5FCACE3F">
            <wp:simplePos x="0" y="0"/>
            <wp:positionH relativeFrom="margin">
              <wp:posOffset>1602740</wp:posOffset>
            </wp:positionH>
            <wp:positionV relativeFrom="paragraph">
              <wp:posOffset>170180</wp:posOffset>
            </wp:positionV>
            <wp:extent cx="2707005" cy="3829685"/>
            <wp:effectExtent l="0" t="0" r="0" b="5715"/>
            <wp:wrapTight wrapText="bothSides">
              <wp:wrapPolygon edited="0">
                <wp:start x="0" y="0"/>
                <wp:lineTo x="0" y="21561"/>
                <wp:lineTo x="21483" y="21561"/>
                <wp:lineTo x="21483" y="0"/>
                <wp:lineTo x="0" y="0"/>
              </wp:wrapPolygon>
            </wp:wrapTight>
            <wp:docPr id="687000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0680" name="Picture 6870006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7005" cy="3829685"/>
                    </a:xfrm>
                    <a:prstGeom prst="rect">
                      <a:avLst/>
                    </a:prstGeom>
                  </pic:spPr>
                </pic:pic>
              </a:graphicData>
            </a:graphic>
            <wp14:sizeRelH relativeFrom="page">
              <wp14:pctWidth>0</wp14:pctWidth>
            </wp14:sizeRelH>
            <wp14:sizeRelV relativeFrom="page">
              <wp14:pctHeight>0</wp14:pctHeight>
            </wp14:sizeRelV>
          </wp:anchor>
        </w:drawing>
      </w:r>
    </w:p>
    <w:p w14:paraId="24BF278A" w14:textId="1C0939CA" w:rsidR="00184317" w:rsidRPr="009013F0" w:rsidRDefault="00184317" w:rsidP="00184317">
      <w:pPr>
        <w:jc w:val="center"/>
        <w:rPr>
          <w:rFonts w:ascii="Times New Roman" w:eastAsia="Times New Roman" w:hAnsi="Times New Roman" w:cs="Times New Roman"/>
          <w:color w:val="000000"/>
          <w:kern w:val="0"/>
          <w:szCs w:val="24"/>
          <w:lang w:eastAsia="en-GB"/>
          <w14:ligatures w14:val="none"/>
        </w:rPr>
      </w:pPr>
    </w:p>
    <w:p w14:paraId="5D184B03"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64C4BADF"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7F4E87A7"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410ACE3B"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64B9F4AB"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1AF564A5"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76AAFFD1"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39138DCA"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510348F1"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00AFAC7A"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1FE8EFA7"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6CDB6685"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62DD3004"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2A5863B9"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57499783"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4ED8E6D9"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5AC47340"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62814C3F"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46F184C9" w14:textId="77777777" w:rsidR="00C2003E" w:rsidRDefault="00C2003E" w:rsidP="009013F0">
      <w:pPr>
        <w:rPr>
          <w:rFonts w:ascii="Times New Roman" w:eastAsia="Times New Roman" w:hAnsi="Times New Roman" w:cs="Times New Roman"/>
          <w:color w:val="000000"/>
          <w:kern w:val="0"/>
          <w:szCs w:val="24"/>
          <w:lang w:eastAsia="en-GB"/>
          <w14:ligatures w14:val="none"/>
        </w:rPr>
      </w:pPr>
    </w:p>
    <w:p w14:paraId="458A05F3" w14:textId="746E5BC5" w:rsidR="00AF49A4" w:rsidRPr="0013210C" w:rsidRDefault="00AF49A4" w:rsidP="009013F0">
      <w:pPr>
        <w:rPr>
          <w:rFonts w:ascii="Times New Roman" w:eastAsia="Times New Roman" w:hAnsi="Times New Roman" w:cs="Times New Roman"/>
          <w:color w:val="000000"/>
          <w:kern w:val="0"/>
          <w:szCs w:val="24"/>
          <w:lang w:eastAsia="en-GB"/>
          <w14:ligatures w14:val="none"/>
        </w:rPr>
      </w:pPr>
    </w:p>
    <w:p w14:paraId="214A49F6" w14:textId="48CE1752" w:rsidR="00184317" w:rsidRDefault="00184317" w:rsidP="009013F0">
      <w:pPr>
        <w:rPr>
          <w:rFonts w:ascii="Times New Roman" w:eastAsia="Times New Roman" w:hAnsi="Times New Roman" w:cs="Times New Roman"/>
          <w:color w:val="000000"/>
          <w:kern w:val="0"/>
          <w:szCs w:val="24"/>
          <w:lang w:eastAsia="en-GB"/>
          <w14:ligatures w14:val="none"/>
        </w:rPr>
      </w:pPr>
    </w:p>
    <w:p w14:paraId="4E785B15" w14:textId="25617244" w:rsidR="00184317" w:rsidRDefault="00A96FB6" w:rsidP="009013F0">
      <w:pPr>
        <w:rPr>
          <w:rFonts w:ascii="Times New Roman" w:eastAsia="Times New Roman" w:hAnsi="Times New Roman" w:cs="Times New Roman"/>
          <w:color w:val="000000"/>
          <w:kern w:val="0"/>
          <w:szCs w:val="24"/>
          <w:lang w:eastAsia="en-GB"/>
          <w14:ligatures w14:val="none"/>
        </w:rPr>
      </w:pPr>
      <w:r>
        <w:rPr>
          <w:rFonts w:ascii="Times New Roman" w:eastAsia="Times New Roman" w:hAnsi="Times New Roman" w:cs="Times New Roman"/>
          <w:noProof/>
          <w:color w:val="000000"/>
          <w:kern w:val="0"/>
          <w:szCs w:val="24"/>
          <w:lang w:eastAsia="en-GB"/>
        </w:rPr>
        <mc:AlternateContent>
          <mc:Choice Requires="wps">
            <w:drawing>
              <wp:anchor distT="0" distB="0" distL="114300" distR="114300" simplePos="0" relativeHeight="251659264" behindDoc="1" locked="0" layoutInCell="1" allowOverlap="1" wp14:anchorId="64D4D8A1" wp14:editId="51F86D73">
                <wp:simplePos x="0" y="0"/>
                <wp:positionH relativeFrom="margin">
                  <wp:posOffset>1024255</wp:posOffset>
                </wp:positionH>
                <wp:positionV relativeFrom="paragraph">
                  <wp:posOffset>62417</wp:posOffset>
                </wp:positionV>
                <wp:extent cx="3674110" cy="1103630"/>
                <wp:effectExtent l="0" t="0" r="8890" b="13970"/>
                <wp:wrapTight wrapText="bothSides">
                  <wp:wrapPolygon edited="0">
                    <wp:start x="0" y="0"/>
                    <wp:lineTo x="0" y="21625"/>
                    <wp:lineTo x="21578" y="21625"/>
                    <wp:lineTo x="21578" y="0"/>
                    <wp:lineTo x="0" y="0"/>
                  </wp:wrapPolygon>
                </wp:wrapTight>
                <wp:docPr id="1815979224" name="Text Box 2"/>
                <wp:cNvGraphicFramePr/>
                <a:graphic xmlns:a="http://schemas.openxmlformats.org/drawingml/2006/main">
                  <a:graphicData uri="http://schemas.microsoft.com/office/word/2010/wordprocessingShape">
                    <wps:wsp>
                      <wps:cNvSpPr txBox="1"/>
                      <wps:spPr>
                        <a:xfrm>
                          <a:off x="0" y="0"/>
                          <a:ext cx="3674110" cy="1103630"/>
                        </a:xfrm>
                        <a:prstGeom prst="rect">
                          <a:avLst/>
                        </a:prstGeom>
                        <a:solidFill>
                          <a:srgbClr val="F8F2B8"/>
                        </a:solidFill>
                        <a:ln w="6350">
                          <a:solidFill>
                            <a:prstClr val="black"/>
                          </a:solidFill>
                        </a:ln>
                      </wps:spPr>
                      <wps:txbx>
                        <w:txbxContent>
                          <w:p w14:paraId="333DA8E9" w14:textId="77777777" w:rsidR="00184317" w:rsidRDefault="00184317" w:rsidP="00C2003E">
                            <w:pPr>
                              <w:pStyle w:val="NormalWeb"/>
                              <w:jc w:val="center"/>
                              <w:rPr>
                                <w:color w:val="000000"/>
                              </w:rPr>
                            </w:pPr>
                            <w:r>
                              <w:rPr>
                                <w:color w:val="000000"/>
                              </w:rPr>
                              <w:t>Abhinavagupta, the great philosopher of Kashmir Shaivism, depicted in contemplative radiance — revered as aesthete, yogi, and tantric master whose works bridged ritual embodiment, metaphysics, and sacred performance.</w:t>
                            </w:r>
                          </w:p>
                          <w:p w14:paraId="28A1B14F" w14:textId="77777777" w:rsidR="00184317" w:rsidRDefault="00184317" w:rsidP="00C2003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4D8A1" id="_x0000_t202" coordsize="21600,21600" o:spt="202" path="m,l,21600r21600,l21600,xe">
                <v:stroke joinstyle="miter"/>
                <v:path gradientshapeok="t" o:connecttype="rect"/>
              </v:shapetype>
              <v:shape id="Text Box 2" o:spid="_x0000_s1026" type="#_x0000_t202" style="position:absolute;margin-left:80.65pt;margin-top:4.9pt;width:289.3pt;height:8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" fillcolor="#f8f2b8" strokeweight=".5pt">
                <v:textbox>
                  <w:txbxContent>
                    <w:p w14:paraId="333DA8E9" w14:textId="77777777" w:rsidR="00184317" w:rsidRDefault="00184317" w:rsidP="00C2003E">
                      <w:pPr>
                        <w:pStyle w:val="NormalWeb"/>
                        <w:jc w:val="center"/>
                        <w:rPr>
                          <w:color w:val="000000"/>
                        </w:rPr>
                      </w:pPr>
                      <w:r>
                        <w:rPr>
                          <w:color w:val="000000"/>
                        </w:rPr>
                        <w:t>Abhinavagupta, the great philosopher of Kashmir Shaivism, depicted in contemplative radiance — revered as aesthete, yogi, and tantric master whose works bridged ritual embodiment, metaphysics, and sacred performance.</w:t>
                      </w:r>
                    </w:p>
                    <w:p w14:paraId="28A1B14F" w14:textId="77777777" w:rsidR="00184317" w:rsidRDefault="00184317" w:rsidP="00C2003E">
                      <w:pPr>
                        <w:jc w:val="center"/>
                      </w:pPr>
                    </w:p>
                  </w:txbxContent>
                </v:textbox>
                <w10:wrap type="tight" anchorx="margin"/>
              </v:shape>
            </w:pict>
          </mc:Fallback>
        </mc:AlternateContent>
      </w:r>
    </w:p>
    <w:p w14:paraId="2CF55D94" w14:textId="4D48F0C5" w:rsidR="00184317" w:rsidRDefault="00184317" w:rsidP="009013F0">
      <w:pPr>
        <w:rPr>
          <w:rFonts w:ascii="Times New Roman" w:eastAsia="Times New Roman" w:hAnsi="Times New Roman" w:cs="Times New Roman"/>
          <w:color w:val="000000"/>
          <w:kern w:val="0"/>
          <w:szCs w:val="24"/>
          <w:lang w:eastAsia="en-GB"/>
          <w14:ligatures w14:val="none"/>
        </w:rPr>
      </w:pPr>
    </w:p>
    <w:p w14:paraId="7AF80CDD" w14:textId="1F4AD436" w:rsidR="00184317" w:rsidRDefault="00184317" w:rsidP="009013F0">
      <w:pPr>
        <w:rPr>
          <w:rFonts w:ascii="Times New Roman" w:eastAsia="Times New Roman" w:hAnsi="Times New Roman" w:cs="Times New Roman"/>
          <w:color w:val="000000"/>
          <w:kern w:val="0"/>
          <w:szCs w:val="24"/>
          <w:lang w:eastAsia="en-GB"/>
          <w14:ligatures w14:val="none"/>
        </w:rPr>
      </w:pPr>
    </w:p>
    <w:p w14:paraId="4B30D404" w14:textId="008BBFBE" w:rsidR="00184317" w:rsidRDefault="00184317" w:rsidP="009013F0">
      <w:pPr>
        <w:rPr>
          <w:rFonts w:ascii="Times New Roman" w:eastAsia="Times New Roman" w:hAnsi="Times New Roman" w:cs="Times New Roman"/>
          <w:color w:val="000000"/>
          <w:kern w:val="0"/>
          <w:szCs w:val="24"/>
          <w:lang w:eastAsia="en-GB"/>
          <w14:ligatures w14:val="none"/>
        </w:rPr>
      </w:pPr>
    </w:p>
    <w:p w14:paraId="300128C1" w14:textId="09998D8C" w:rsidR="00184317" w:rsidRDefault="00184317" w:rsidP="009013F0">
      <w:pPr>
        <w:rPr>
          <w:rFonts w:ascii="Times New Roman" w:eastAsia="Times New Roman" w:hAnsi="Times New Roman" w:cs="Times New Roman"/>
          <w:color w:val="000000"/>
          <w:kern w:val="0"/>
          <w:szCs w:val="24"/>
          <w:lang w:eastAsia="en-GB"/>
          <w14:ligatures w14:val="none"/>
        </w:rPr>
      </w:pPr>
    </w:p>
    <w:p w14:paraId="390B32AA" w14:textId="77777777" w:rsidR="006E3ACB" w:rsidRDefault="006E3ACB" w:rsidP="009013F0">
      <w:pPr>
        <w:rPr>
          <w:rFonts w:ascii="Times New Roman" w:eastAsia="Times New Roman" w:hAnsi="Times New Roman" w:cs="Times New Roman"/>
          <w:color w:val="000000"/>
          <w:kern w:val="0"/>
          <w:szCs w:val="24"/>
          <w:lang w:eastAsia="en-GB"/>
          <w14:ligatures w14:val="none"/>
        </w:rPr>
      </w:pPr>
    </w:p>
    <w:p w14:paraId="0472241F" w14:textId="77777777" w:rsidR="006E3ACB" w:rsidRDefault="006E3ACB" w:rsidP="009013F0">
      <w:pPr>
        <w:rPr>
          <w:rFonts w:ascii="Times New Roman" w:eastAsia="Times New Roman" w:hAnsi="Times New Roman" w:cs="Times New Roman"/>
          <w:color w:val="000000"/>
          <w:kern w:val="0"/>
          <w:szCs w:val="24"/>
          <w:lang w:eastAsia="en-GB"/>
          <w14:ligatures w14:val="none"/>
        </w:rPr>
      </w:pPr>
    </w:p>
    <w:p w14:paraId="7ABB5E5A" w14:textId="7DA37FFE" w:rsidR="0013210C" w:rsidRPr="0013210C" w:rsidRDefault="0013210C" w:rsidP="009013F0">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Abhinavagupta, in his </w:t>
      </w:r>
      <w:r w:rsidRPr="0013210C">
        <w:rPr>
          <w:rFonts w:ascii="Times New Roman" w:eastAsia="Times New Roman" w:hAnsi="Times New Roman" w:cs="Times New Roman"/>
          <w:i/>
          <w:iCs/>
          <w:color w:val="000000"/>
          <w:kern w:val="0"/>
          <w:szCs w:val="24"/>
          <w:lang w:eastAsia="en-GB"/>
          <w14:ligatures w14:val="none"/>
        </w:rPr>
        <w:t>Abhinavabhāratī</w:t>
      </w:r>
      <w:r w:rsidRPr="0013210C">
        <w:rPr>
          <w:rFonts w:ascii="Times New Roman" w:eastAsia="Times New Roman" w:hAnsi="Times New Roman" w:cs="Times New Roman"/>
          <w:color w:val="000000"/>
          <w:kern w:val="0"/>
          <w:szCs w:val="24"/>
          <w:lang w:eastAsia="en-GB"/>
          <w14:ligatures w14:val="none"/>
        </w:rPr>
        <w:t> commentary on the </w:t>
      </w:r>
      <w:r w:rsidRPr="0013210C">
        <w:rPr>
          <w:rFonts w:ascii="Times New Roman" w:eastAsia="Times New Roman" w:hAnsi="Times New Roman" w:cs="Times New Roman"/>
          <w:i/>
          <w:iCs/>
          <w:color w:val="000000"/>
          <w:kern w:val="0"/>
          <w:szCs w:val="24"/>
          <w:lang w:eastAsia="en-GB"/>
          <w14:ligatures w14:val="none"/>
        </w:rPr>
        <w:t>Nāṭyaśāstra</w:t>
      </w:r>
      <w:r w:rsidRPr="0013210C">
        <w:rPr>
          <w:rFonts w:ascii="Times New Roman" w:eastAsia="Times New Roman" w:hAnsi="Times New Roman" w:cs="Times New Roman"/>
          <w:color w:val="000000"/>
          <w:kern w:val="0"/>
          <w:szCs w:val="24"/>
          <w:lang w:eastAsia="en-GB"/>
          <w14:ligatures w14:val="none"/>
        </w:rPr>
        <w:t>, famously characterizes </w:t>
      </w:r>
      <w:r w:rsidRPr="0013210C">
        <w:rPr>
          <w:rFonts w:ascii="Times New Roman" w:eastAsia="Times New Roman" w:hAnsi="Times New Roman" w:cs="Times New Roman"/>
          <w:i/>
          <w:iCs/>
          <w:color w:val="000000"/>
          <w:kern w:val="0"/>
          <w:szCs w:val="24"/>
          <w:lang w:eastAsia="en-GB"/>
          <w14:ligatures w14:val="none"/>
        </w:rPr>
        <w:t>rasa</w:t>
      </w:r>
      <w:r w:rsidRPr="0013210C">
        <w:rPr>
          <w:rFonts w:ascii="Times New Roman" w:eastAsia="Times New Roman" w:hAnsi="Times New Roman" w:cs="Times New Roman"/>
          <w:color w:val="000000"/>
          <w:kern w:val="0"/>
          <w:szCs w:val="24"/>
          <w:lang w:eastAsia="en-GB"/>
          <w14:ligatures w14:val="none"/>
        </w:rPr>
        <w:t> as “alaukika” (transcendent or non-worldly):</w:t>
      </w:r>
    </w:p>
    <w:p w14:paraId="4BFAB27F" w14:textId="77777777" w:rsidR="00582F28" w:rsidRPr="00582F28" w:rsidRDefault="00582F28" w:rsidP="009013F0">
      <w:pPr>
        <w:pStyle w:val="NormalWeb"/>
        <w:spacing w:before="0" w:beforeAutospacing="0" w:after="0" w:afterAutospacing="0"/>
        <w:rPr>
          <w:b/>
          <w:bCs/>
          <w:color w:val="000000"/>
        </w:rPr>
      </w:pPr>
      <w:r w:rsidRPr="00582F28">
        <w:rPr>
          <w:rFonts w:cs="Mangal"/>
          <w:b/>
          <w:bCs/>
          <w:color w:val="000000"/>
          <w:cs/>
          <w:lang w:bidi="hi-IN"/>
        </w:rPr>
        <w:t>रसः स एवालौकिक एवेति व्यवस्थितः ॥</w:t>
      </w:r>
    </w:p>
    <w:p w14:paraId="34A80F83" w14:textId="21285595" w:rsidR="0013210C" w:rsidRPr="0013210C" w:rsidRDefault="0013210C" w:rsidP="009013F0">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Transliteration:</w:t>
      </w:r>
    </w:p>
    <w:p w14:paraId="2E67F5D9" w14:textId="77777777" w:rsidR="0013210C" w:rsidRPr="0013210C" w:rsidRDefault="0013210C" w:rsidP="009013F0">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i/>
          <w:iCs/>
          <w:color w:val="000000"/>
          <w:kern w:val="0"/>
          <w:szCs w:val="24"/>
          <w:lang w:eastAsia="en-GB"/>
          <w14:ligatures w14:val="none"/>
        </w:rPr>
        <w:t>Rasaḥ sa evālaukika eveti vyavasthitaḥ.</w:t>
      </w:r>
    </w:p>
    <w:p w14:paraId="654F6254" w14:textId="77777777" w:rsidR="0013210C" w:rsidRPr="0013210C" w:rsidRDefault="0013210C" w:rsidP="00582F28">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Translation:</w:t>
      </w:r>
    </w:p>
    <w:p w14:paraId="317C2691" w14:textId="77777777" w:rsidR="0013210C" w:rsidRPr="0013210C" w:rsidRDefault="0013210C" w:rsidP="00582F28">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“Rasa is precisely that experience which is non-worldly—this is the established conclusion.”</w:t>
      </w:r>
    </w:p>
    <w:p w14:paraId="2C366BC7" w14:textId="77777777" w:rsidR="009013F0" w:rsidRDefault="009013F0" w:rsidP="00582F28">
      <w:pPr>
        <w:rPr>
          <w:rFonts w:ascii="Times New Roman" w:eastAsia="Times New Roman" w:hAnsi="Times New Roman" w:cs="Times New Roman"/>
          <w:color w:val="000000"/>
          <w:kern w:val="0"/>
          <w:szCs w:val="24"/>
          <w:lang w:eastAsia="en-GB"/>
          <w14:ligatures w14:val="none"/>
        </w:rPr>
      </w:pPr>
    </w:p>
    <w:p w14:paraId="73530917" w14:textId="032A7EB3" w:rsidR="0013210C" w:rsidRPr="0013210C" w:rsidRDefault="0013210C" w:rsidP="00582F28">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According to Abhinavagupta, aesthetic relish is not an ordinary emotional state but an extraordinary mode of consciousness in which the spectator transcends personal attachments, spatial location, and temporal specificity, entering a universalized state of bliss.</w:t>
      </w:r>
      <w:r w:rsidR="009013F0">
        <w:rPr>
          <w:rFonts w:ascii="Times New Roman" w:eastAsia="Times New Roman" w:hAnsi="Times New Roman" w:cs="Times New Roman"/>
          <w:color w:val="000000"/>
          <w:kern w:val="0"/>
          <w:szCs w:val="24"/>
          <w:lang w:eastAsia="en-GB"/>
          <w14:ligatures w14:val="none"/>
        </w:rPr>
        <w:t xml:space="preserve"> </w:t>
      </w:r>
      <w:r w:rsidRPr="0013210C">
        <w:rPr>
          <w:rFonts w:ascii="Times New Roman" w:eastAsia="Times New Roman" w:hAnsi="Times New Roman" w:cs="Times New Roman"/>
          <w:color w:val="000000"/>
          <w:kern w:val="0"/>
          <w:szCs w:val="24"/>
          <w:lang w:eastAsia="en-GB"/>
          <w14:ligatures w14:val="none"/>
        </w:rPr>
        <w:t>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however, proposes a radically different model. Here transcendence is not achieved through detachment from embodiment, but through intensified embodied participation. Dance and song are not representations of meditation; they are themselves meditation.</w:t>
      </w:r>
    </w:p>
    <w:p w14:paraId="38BE0ACE" w14:textId="77777777" w:rsidR="00582F28" w:rsidRDefault="00582F28" w:rsidP="00582F28">
      <w:pPr>
        <w:rPr>
          <w:rFonts w:ascii="Times New Roman" w:eastAsia="Times New Roman" w:hAnsi="Times New Roman" w:cs="Times New Roman"/>
          <w:color w:val="000000"/>
          <w:kern w:val="0"/>
          <w:szCs w:val="24"/>
          <w:lang w:eastAsia="en-GB"/>
          <w14:ligatures w14:val="none"/>
        </w:rPr>
      </w:pPr>
    </w:p>
    <w:p w14:paraId="5390B0AA" w14:textId="231A0853" w:rsidR="0013210C" w:rsidRPr="0013210C" w:rsidRDefault="0013210C" w:rsidP="00582F28">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The text states:</w:t>
      </w:r>
    </w:p>
    <w:p w14:paraId="4D8FDE4C" w14:textId="77777777" w:rsidR="00582F28" w:rsidRPr="00582F28" w:rsidRDefault="00582F28" w:rsidP="00582F28">
      <w:pPr>
        <w:pStyle w:val="NormalWeb"/>
        <w:spacing w:before="0" w:beforeAutospacing="0" w:after="0" w:afterAutospacing="0"/>
        <w:rPr>
          <w:rFonts w:cs="Mangal"/>
          <w:b/>
          <w:bCs/>
          <w:color w:val="000000"/>
          <w:lang w:bidi="hi-IN"/>
        </w:rPr>
      </w:pPr>
      <w:r w:rsidRPr="00582F28">
        <w:rPr>
          <w:rFonts w:cs="Mangal"/>
          <w:b/>
          <w:bCs/>
          <w:color w:val="000000"/>
          <w:cs/>
          <w:lang w:bidi="hi-IN"/>
        </w:rPr>
        <w:t xml:space="preserve">मन्त्रविशुद्ध्या स्थितता गीता नर्तना भावना स्मृता । </w:t>
      </w:r>
    </w:p>
    <w:p w14:paraId="63A176CA" w14:textId="48FDD98D" w:rsidR="00582F28" w:rsidRPr="00582F28" w:rsidRDefault="00582F28" w:rsidP="00582F28">
      <w:pPr>
        <w:pStyle w:val="NormalWeb"/>
        <w:spacing w:before="0" w:beforeAutospacing="0" w:after="0" w:afterAutospacing="0"/>
        <w:rPr>
          <w:b/>
          <w:bCs/>
          <w:color w:val="000000"/>
        </w:rPr>
      </w:pPr>
      <w:r w:rsidRPr="00582F28">
        <w:rPr>
          <w:rFonts w:cs="Mangal"/>
          <w:b/>
          <w:bCs/>
          <w:color w:val="000000"/>
          <w:cs/>
          <w:lang w:bidi="hi-IN"/>
        </w:rPr>
        <w:t>तस्माद् गीतं नृत्यं कुर्याद् योगी सदा सदा ॥ १.६.१३ ॥</w:t>
      </w:r>
    </w:p>
    <w:p w14:paraId="1549B32D" w14:textId="77777777" w:rsidR="0013210C" w:rsidRP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lastRenderedPageBreak/>
        <w:t>Translation:</w:t>
      </w:r>
    </w:p>
    <w:p w14:paraId="476B7BD2" w14:textId="77777777"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“When established in the purified state of mantra, song and dance are themselves regarded as contemplative practice (</w:t>
      </w:r>
      <w:r w:rsidRPr="0013210C">
        <w:rPr>
          <w:rFonts w:ascii="Times New Roman" w:eastAsia="Times New Roman" w:hAnsi="Times New Roman" w:cs="Times New Roman"/>
          <w:i/>
          <w:iCs/>
          <w:color w:val="000000"/>
          <w:kern w:val="0"/>
          <w:szCs w:val="24"/>
          <w:lang w:eastAsia="en-GB"/>
          <w14:ligatures w14:val="none"/>
        </w:rPr>
        <w:t>bhāvanā</w:t>
      </w:r>
      <w:r w:rsidRPr="0013210C">
        <w:rPr>
          <w:rFonts w:ascii="Times New Roman" w:eastAsia="Times New Roman" w:hAnsi="Times New Roman" w:cs="Times New Roman"/>
          <w:color w:val="000000"/>
          <w:kern w:val="0"/>
          <w:szCs w:val="24"/>
          <w:lang w:eastAsia="en-GB"/>
          <w14:ligatures w14:val="none"/>
        </w:rPr>
        <w:t>). Therefore, the yogī should continually engage in song and dance.”</w:t>
      </w:r>
    </w:p>
    <w:p w14:paraId="31477F1F" w14:textId="77777777" w:rsidR="009013F0" w:rsidRPr="0013210C" w:rsidRDefault="009013F0" w:rsidP="00AF49A4">
      <w:pPr>
        <w:rPr>
          <w:rFonts w:ascii="Times New Roman" w:eastAsia="Times New Roman" w:hAnsi="Times New Roman" w:cs="Times New Roman"/>
          <w:color w:val="000000"/>
          <w:kern w:val="0"/>
          <w:szCs w:val="24"/>
          <w:lang w:eastAsia="en-GB"/>
          <w14:ligatures w14:val="none"/>
        </w:rPr>
      </w:pPr>
    </w:p>
    <w:p w14:paraId="40D7BD2B" w14:textId="404EBD9B" w:rsidR="0013210C" w:rsidRDefault="0013210C" w:rsidP="00AF49A4">
      <w:pPr>
        <w:rPr>
          <w:rFonts w:ascii="Times New Roman" w:eastAsia="Times New Roman" w:hAnsi="Times New Roman" w:cs="Times New Roman"/>
          <w:color w:val="000000"/>
          <w:kern w:val="0"/>
          <w:szCs w:val="24"/>
          <w:lang w:eastAsia="en-GB"/>
          <w14:ligatures w14:val="none"/>
        </w:rPr>
      </w:pPr>
      <w:r w:rsidRPr="0013210C">
        <w:rPr>
          <w:rFonts w:ascii="Times New Roman" w:eastAsia="Times New Roman" w:hAnsi="Times New Roman" w:cs="Times New Roman"/>
          <w:color w:val="000000"/>
          <w:kern w:val="0"/>
          <w:szCs w:val="24"/>
          <w:lang w:eastAsia="en-GB"/>
          <w14:ligatures w14:val="none"/>
        </w:rPr>
        <w:t>Here, dance is not the expression of meditation—it is meditation itself. Unlike the spectator-centered aesthetic experience of the </w:t>
      </w:r>
      <w:r w:rsidRPr="0013210C">
        <w:rPr>
          <w:rFonts w:ascii="Times New Roman" w:eastAsia="Times New Roman" w:hAnsi="Times New Roman" w:cs="Times New Roman"/>
          <w:i/>
          <w:iCs/>
          <w:color w:val="000000"/>
          <w:kern w:val="0"/>
          <w:szCs w:val="24"/>
          <w:lang w:eastAsia="en-GB"/>
          <w14:ligatures w14:val="none"/>
        </w:rPr>
        <w:t>Nāṭyaśāstra</w:t>
      </w:r>
      <w:r w:rsidRPr="0013210C">
        <w:rPr>
          <w:rFonts w:ascii="Times New Roman" w:eastAsia="Times New Roman" w:hAnsi="Times New Roman" w:cs="Times New Roman"/>
          <w:color w:val="000000"/>
          <w:kern w:val="0"/>
          <w:szCs w:val="24"/>
          <w:lang w:eastAsia="en-GB"/>
          <w14:ligatures w14:val="none"/>
        </w:rPr>
        <w:t>, tantric bliss arises directly within the practitioner’s body. Liberation is not represented; it is enacted.</w:t>
      </w:r>
      <w:r w:rsidR="009013F0">
        <w:rPr>
          <w:rFonts w:ascii="Times New Roman" w:eastAsia="Times New Roman" w:hAnsi="Times New Roman" w:cs="Times New Roman"/>
          <w:color w:val="000000"/>
          <w:kern w:val="0"/>
          <w:szCs w:val="24"/>
          <w:lang w:eastAsia="en-GB"/>
          <w14:ligatures w14:val="none"/>
        </w:rPr>
        <w:t xml:space="preserve"> </w:t>
      </w:r>
      <w:r w:rsidRPr="0013210C">
        <w:rPr>
          <w:rFonts w:ascii="Times New Roman" w:eastAsia="Times New Roman" w:hAnsi="Times New Roman" w:cs="Times New Roman"/>
          <w:color w:val="000000"/>
          <w:kern w:val="0"/>
          <w:szCs w:val="24"/>
          <w:lang w:eastAsia="en-GB"/>
          <w14:ligatures w14:val="none"/>
        </w:rPr>
        <w:t>This notion of “performed liberation” provides a potentially repeatable interpretive framework applicable not only to the </w:t>
      </w:r>
      <w:r w:rsidRPr="0013210C">
        <w:rPr>
          <w:rFonts w:ascii="Times New Roman" w:eastAsia="Times New Roman" w:hAnsi="Times New Roman" w:cs="Times New Roman"/>
          <w:i/>
          <w:iCs/>
          <w:color w:val="000000"/>
          <w:kern w:val="0"/>
          <w:szCs w:val="24"/>
          <w:lang w:eastAsia="en-GB"/>
          <w14:ligatures w14:val="none"/>
        </w:rPr>
        <w:t>Hevajratantra</w:t>
      </w:r>
      <w:r w:rsidRPr="0013210C">
        <w:rPr>
          <w:rFonts w:ascii="Times New Roman" w:eastAsia="Times New Roman" w:hAnsi="Times New Roman" w:cs="Times New Roman"/>
          <w:color w:val="000000"/>
          <w:kern w:val="0"/>
          <w:szCs w:val="24"/>
          <w:lang w:eastAsia="en-GB"/>
          <w14:ligatures w14:val="none"/>
        </w:rPr>
        <w:t> but to tantric ritual literature more broadly.</w:t>
      </w:r>
    </w:p>
    <w:p w14:paraId="125F7EF2" w14:textId="77777777" w:rsidR="008C2FD7" w:rsidRDefault="008C2FD7" w:rsidP="00AF49A4">
      <w:pPr>
        <w:rPr>
          <w:rFonts w:ascii="Times New Roman" w:eastAsia="Times New Roman" w:hAnsi="Times New Roman" w:cs="Times New Roman"/>
          <w:color w:val="000000"/>
          <w:kern w:val="0"/>
          <w:szCs w:val="24"/>
          <w:lang w:eastAsia="en-GB"/>
          <w14:ligatures w14:val="none"/>
        </w:rPr>
      </w:pPr>
    </w:p>
    <w:p w14:paraId="0FFE2564" w14:textId="77777777" w:rsidR="00882031" w:rsidRPr="00C31BBE" w:rsidRDefault="00882031" w:rsidP="00882031">
      <w:pPr>
        <w:outlineLvl w:val="1"/>
        <w:rPr>
          <w:rFonts w:ascii="Times New Roman" w:eastAsia="Times New Roman" w:hAnsi="Times New Roman" w:cs="Times New Roman"/>
          <w:b/>
          <w:bCs/>
          <w:color w:val="000000"/>
          <w:kern w:val="0"/>
          <w:szCs w:val="24"/>
          <w:lang w:eastAsia="en-GB"/>
          <w14:ligatures w14:val="none"/>
        </w:rPr>
      </w:pPr>
      <w:r w:rsidRPr="00C31BBE">
        <w:rPr>
          <w:rFonts w:ascii="Times New Roman" w:eastAsia="Times New Roman" w:hAnsi="Times New Roman" w:cs="Times New Roman"/>
          <w:b/>
          <w:bCs/>
          <w:color w:val="000000"/>
          <w:kern w:val="0"/>
          <w:szCs w:val="24"/>
          <w:lang w:eastAsia="en-GB"/>
          <w14:ligatures w14:val="none"/>
        </w:rPr>
        <w:t>Gender, Yoginītantra, and the Problem of “Performed Liberation”</w:t>
      </w:r>
    </w:p>
    <w:p w14:paraId="23ED2740"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Any discussion of embodiment, ritual movement,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and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in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remains incomplete without sustained engagement with gender. This is particularly important because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belongs to the category of Yoginītantra, a class of late Indian Buddhist tantric texts in which female divinities, yoginīs, ḍākinīs, sexual polarity, and embodied ritual transformation occupy central positions. The concept of “performed liberation” proposed in this essay must therefore be critically examined through the lenses of feminine ritual agency, erotic ambiguity, and gendered embodiment.</w:t>
      </w:r>
    </w:p>
    <w:p w14:paraId="5C078562"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2794F737"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Yoginītantras emerged within a broader medieval South Asian tantric environment in which cremation-ground symbolism, transgressive ritual, deity-yoga, and ritualized sexuality became increasingly prominent. Alexis Sanderson has argued that Buddhist Yoginītantras developed in close interaction with Śaiva and Śākta tantric traditions, particularly those associated with yoginī cults, Kaula ritual systems, and transgressive initiatory practices (Sanderson 2009; Sanderson 2015). Within this milieu, the female body was not merely symbolic ornamentation but a site of ritual power, epistemological transformation, and esoteric authority.</w:t>
      </w:r>
    </w:p>
    <w:p w14:paraId="18DCC110"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67E7529C"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itself repeatedly emphasizes the inseparability of wisdom (</w:t>
      </w:r>
      <w:r w:rsidRPr="00C31BBE">
        <w:rPr>
          <w:rFonts w:ascii="Times New Roman" w:eastAsia="Times New Roman" w:hAnsi="Times New Roman" w:cs="Times New Roman"/>
          <w:i/>
          <w:iCs/>
          <w:color w:val="000000"/>
          <w:kern w:val="0"/>
          <w:szCs w:val="24"/>
          <w:lang w:eastAsia="en-GB"/>
          <w14:ligatures w14:val="none"/>
        </w:rPr>
        <w:t>prajñā</w:t>
      </w:r>
      <w:r w:rsidRPr="00C31BBE">
        <w:rPr>
          <w:rFonts w:ascii="Times New Roman" w:eastAsia="Times New Roman" w:hAnsi="Times New Roman" w:cs="Times New Roman"/>
          <w:color w:val="000000"/>
          <w:kern w:val="0"/>
          <w:szCs w:val="24"/>
          <w:lang w:eastAsia="en-GB"/>
          <w14:ligatures w14:val="none"/>
        </w:rPr>
        <w:t>) and method (</w:t>
      </w:r>
      <w:r w:rsidRPr="00C31BBE">
        <w:rPr>
          <w:rFonts w:ascii="Times New Roman" w:eastAsia="Times New Roman" w:hAnsi="Times New Roman" w:cs="Times New Roman"/>
          <w:i/>
          <w:iCs/>
          <w:color w:val="000000"/>
          <w:kern w:val="0"/>
          <w:szCs w:val="24"/>
          <w:lang w:eastAsia="en-GB"/>
          <w14:ligatures w14:val="none"/>
        </w:rPr>
        <w:t>upāya</w:t>
      </w:r>
      <w:r w:rsidRPr="00C31BBE">
        <w:rPr>
          <w:rFonts w:ascii="Times New Roman" w:eastAsia="Times New Roman" w:hAnsi="Times New Roman" w:cs="Times New Roman"/>
          <w:color w:val="000000"/>
          <w:kern w:val="0"/>
          <w:szCs w:val="24"/>
          <w:lang w:eastAsia="en-GB"/>
          <w14:ligatures w14:val="none"/>
        </w:rPr>
        <w:t>), often represented through masculine and feminine polarity. The yoginī and the ḍākinī are not simply attendants to male yogic realization; they function as embodiments of awakened knowledge itself. Miranda Shaw has therefore argued that female tantric practitioners in Buddhist Tantra frequently occupied roles as teachers, initiators, ritual partners, and sources of esoteric insight rather than merely passive ritual objects (Shaw 1994). This observation is crucial for understanding the </w:t>
      </w:r>
      <w:r w:rsidRPr="00C31BBE">
        <w:rPr>
          <w:rFonts w:ascii="Times New Roman" w:eastAsia="Times New Roman" w:hAnsi="Times New Roman" w:cs="Times New Roman"/>
          <w:i/>
          <w:iCs/>
          <w:color w:val="000000"/>
          <w:kern w:val="0"/>
          <w:szCs w:val="24"/>
          <w:lang w:eastAsia="en-GB"/>
          <w14:ligatures w14:val="none"/>
        </w:rPr>
        <w:t>Caryāpaṭala</w:t>
      </w:r>
      <w:r w:rsidRPr="00C31BBE">
        <w:rPr>
          <w:rFonts w:ascii="Times New Roman" w:eastAsia="Times New Roman" w:hAnsi="Times New Roman" w:cs="Times New Roman"/>
          <w:color w:val="000000"/>
          <w:kern w:val="0"/>
          <w:szCs w:val="24"/>
          <w:lang w:eastAsia="en-GB"/>
          <w14:ligatures w14:val="none"/>
        </w:rPr>
        <w:t>. If dance and song function as </w:t>
      </w:r>
      <w:r w:rsidRPr="00C31BBE">
        <w:rPr>
          <w:rFonts w:ascii="Times New Roman" w:eastAsia="Times New Roman" w:hAnsi="Times New Roman" w:cs="Times New Roman"/>
          <w:i/>
          <w:iCs/>
          <w:color w:val="000000"/>
          <w:kern w:val="0"/>
          <w:szCs w:val="24"/>
          <w:lang w:eastAsia="en-GB"/>
          <w14:ligatures w14:val="none"/>
        </w:rPr>
        <w:t>bhāvanā</w:t>
      </w:r>
      <w:r w:rsidRPr="00C31BBE">
        <w:rPr>
          <w:rFonts w:ascii="Times New Roman" w:eastAsia="Times New Roman" w:hAnsi="Times New Roman" w:cs="Times New Roman"/>
          <w:color w:val="000000"/>
          <w:kern w:val="0"/>
          <w:szCs w:val="24"/>
          <w:lang w:eastAsia="en-GB"/>
          <w14:ligatures w14:val="none"/>
        </w:rPr>
        <w:t>, then the question immediately arises: whose body performs liberation?</w:t>
      </w:r>
    </w:p>
    <w:p w14:paraId="305915AC"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issue becomes especially important because tantric literature often employs feminine imagery at multiple levels simultaneously:</w:t>
      </w:r>
    </w:p>
    <w:p w14:paraId="64A129A5" w14:textId="77777777" w:rsidR="00882031" w:rsidRPr="00C31BBE" w:rsidRDefault="00882031" w:rsidP="00882031">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literal,</w:t>
      </w:r>
    </w:p>
    <w:p w14:paraId="15C787B2" w14:textId="77777777" w:rsidR="00882031" w:rsidRPr="00C31BBE" w:rsidRDefault="00882031" w:rsidP="00882031">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symbolic,</w:t>
      </w:r>
    </w:p>
    <w:p w14:paraId="22AD6898" w14:textId="77777777" w:rsidR="00882031" w:rsidRPr="00C31BBE" w:rsidRDefault="00882031" w:rsidP="00882031">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ritual,</w:t>
      </w:r>
    </w:p>
    <w:p w14:paraId="71925A25" w14:textId="77777777" w:rsidR="00882031" w:rsidRPr="00C31BBE" w:rsidRDefault="00882031" w:rsidP="00882031">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contemplative,</w:t>
      </w:r>
    </w:p>
    <w:p w14:paraId="16992FDC" w14:textId="77777777" w:rsidR="00882031" w:rsidRPr="00C31BBE" w:rsidRDefault="00882031" w:rsidP="00882031">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cosmic.</w:t>
      </w:r>
    </w:p>
    <w:p w14:paraId="0DCDCC7D"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yoginī may signify:</w:t>
      </w:r>
    </w:p>
    <w:p w14:paraId="2B2A886A" w14:textId="77777777" w:rsidR="00882031" w:rsidRPr="00C31BBE" w:rsidRDefault="00882031" w:rsidP="00882031">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 actual female practitioner,</w:t>
      </w:r>
    </w:p>
    <w:p w14:paraId="19C01C68" w14:textId="77777777" w:rsidR="00882031" w:rsidRPr="00C31BBE" w:rsidRDefault="00882031" w:rsidP="00882031">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 ritual consort,</w:t>
      </w:r>
    </w:p>
    <w:p w14:paraId="7A0E89B6" w14:textId="77777777" w:rsidR="00882031" w:rsidRPr="00C31BBE" w:rsidRDefault="00882031" w:rsidP="00882031">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 embodiment of wisdom,</w:t>
      </w:r>
    </w:p>
    <w:p w14:paraId="1AC5F358" w14:textId="77777777" w:rsidR="00882031" w:rsidRPr="00C31BBE" w:rsidRDefault="00882031" w:rsidP="00882031">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 deity,</w:t>
      </w:r>
    </w:p>
    <w:p w14:paraId="371543EC" w14:textId="77777777" w:rsidR="00882031" w:rsidRPr="00C31BBE" w:rsidRDefault="00882031" w:rsidP="00882031">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or a mode of consciousness itself.</w:t>
      </w:r>
    </w:p>
    <w:p w14:paraId="45DB7D1D"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lastRenderedPageBreak/>
        <w:t>This layered ambiguity complicates any simplistic distinction between metaphor and embodied practice.</w:t>
      </w:r>
    </w:p>
    <w:p w14:paraId="105BAD36"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2810A4C5"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’s emphasis on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(“great bliss”) further intensifies the gendered dimension of tantric embodiment. In many Yoginītantra traditions,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is not conceived as abstract transcendence detached from bodily experience. Rather, bliss emerges through the transformation of sensory and affective processes. David Gordon White argues that medieval tantric traditions repeatedly employ erotic symbolism, bodily substances, and ritualized transgression in order to destabilize conventional distinctions between sacred and profane (White 2003). Such practices sought not indulgence for its own sake, but the transformation of desire into liberative awareness.</w:t>
      </w:r>
    </w:p>
    <w:p w14:paraId="218DDD3B"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5A6CD4BB"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Yet this transformation is inherently unstable. Erotic ritual may function simultaneously as:</w:t>
      </w:r>
    </w:p>
    <w:p w14:paraId="1C2A01E5" w14:textId="77777777" w:rsidR="00882031" w:rsidRPr="00C31BBE" w:rsidRDefault="00882031" w:rsidP="00882031">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contemplative technology,</w:t>
      </w:r>
    </w:p>
    <w:p w14:paraId="1297809E" w14:textId="77777777" w:rsidR="00882031" w:rsidRPr="00C31BBE" w:rsidRDefault="00882031" w:rsidP="00882031">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symbolic enactment,</w:t>
      </w:r>
    </w:p>
    <w:p w14:paraId="592DD961" w14:textId="77777777" w:rsidR="00882031" w:rsidRPr="00C31BBE" w:rsidRDefault="00882031" w:rsidP="00882031">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social transgression,</w:t>
      </w:r>
    </w:p>
    <w:p w14:paraId="4EF94FFB" w14:textId="77777777" w:rsidR="00882031" w:rsidRPr="00C31BBE" w:rsidRDefault="00882031" w:rsidP="00882031">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affective intensification,</w:t>
      </w:r>
    </w:p>
    <w:p w14:paraId="4D7E1FAF" w14:textId="77777777" w:rsidR="00882031" w:rsidRPr="00C31BBE" w:rsidRDefault="00882031" w:rsidP="00882031">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the potential reproduction of gender hierarchy.</w:t>
      </w:r>
    </w:p>
    <w:p w14:paraId="7A924BB2"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Consequently, the language of liberation within Yoginītantra traditions cannot be treated as automatically emancipatory.</w:t>
      </w:r>
    </w:p>
    <w:p w14:paraId="596EE4AC"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0E4781D0"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tension becomes especially visible in relation to ritual movement and dance. If the body itself becomes the field of awakening, then female embodiment acquires epistemological significance. Thomas Csordas’s theory of embodiment remains useful here because it frames the body not merely as an object of representation but as the existential ground of experience (Csordas 1994). Yet the Yoginītantras radicalize this insight further: feminine embodiment is not only experiential but revelatory. The female body becomes a locus through which </w:t>
      </w:r>
      <w:r w:rsidRPr="00C31BBE">
        <w:rPr>
          <w:rFonts w:ascii="Times New Roman" w:eastAsia="Times New Roman" w:hAnsi="Times New Roman" w:cs="Times New Roman"/>
          <w:i/>
          <w:iCs/>
          <w:color w:val="000000"/>
          <w:kern w:val="0"/>
          <w:szCs w:val="24"/>
          <w:lang w:eastAsia="en-GB"/>
          <w14:ligatures w14:val="none"/>
        </w:rPr>
        <w:t>śūnyatā</w:t>
      </w:r>
      <w:r w:rsidRPr="00C31BBE">
        <w:rPr>
          <w:rFonts w:ascii="Times New Roman" w:eastAsia="Times New Roman" w:hAnsi="Times New Roman" w:cs="Times New Roman"/>
          <w:color w:val="000000"/>
          <w:kern w:val="0"/>
          <w:szCs w:val="24"/>
          <w:lang w:eastAsia="en-GB"/>
          <w14:ligatures w14:val="none"/>
        </w:rPr>
        <w:t>,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and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are ritually encountered.</w:t>
      </w:r>
    </w:p>
    <w:p w14:paraId="684BCE8B"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ḍākinī occupies a particularly important place within this framework. Across Buddhist tantric literature, the ḍākinī frequently appears as:</w:t>
      </w:r>
    </w:p>
    <w:p w14:paraId="3F3F9D5D" w14:textId="77777777" w:rsidR="00882031" w:rsidRPr="00C31BBE" w:rsidRDefault="00882031" w:rsidP="00882031">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initiator,</w:t>
      </w:r>
    </w:p>
    <w:p w14:paraId="0684BDB9" w14:textId="77777777" w:rsidR="00882031" w:rsidRPr="00C31BBE" w:rsidRDefault="00882031" w:rsidP="00882031">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guide,</w:t>
      </w:r>
    </w:p>
    <w:p w14:paraId="2D6F19E1" w14:textId="77777777" w:rsidR="00882031" w:rsidRPr="00C31BBE" w:rsidRDefault="00882031" w:rsidP="00882031">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guardian of esoteric knowledge,</w:t>
      </w:r>
    </w:p>
    <w:p w14:paraId="1A40A502" w14:textId="77777777" w:rsidR="00882031" w:rsidRPr="00C31BBE" w:rsidRDefault="00882031" w:rsidP="00882031">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destabilizing force.</w:t>
      </w:r>
    </w:p>
    <w:p w14:paraId="3D06F027"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4E37EB5F"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Christian Wedemeyer notes that tantric texts often deliberately blur the boundaries between visionary encounter, symbolic representation, and ritual enactment (Wedemeyer 2013). The ḍākinī therefore resists stable categorization. She may appear terrifying, erotic, maternal, transgressive, or liberative—often simultaneously. In ritual dance traditions connected to Yoginītantra imagery, this ambiguity becomes embodied. Movement itself becomes a threshold where desire, fear, bliss, and emptiness intersect.</w:t>
      </w:r>
    </w:p>
    <w:p w14:paraId="524D883B"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03702EC8"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has profound implications for the concept of “performed liberation.” The term risks implying a universal or gender-neutral subject of liberation unless gender is explicitly theorized. Yet Yoginītantra traditions repeatedly suggest that liberation is mediated through sexual polarity and differentiated embodiment. The body that dances is not an abstract body; it is historically gendered, socially situated, ritually encoded, and erotically marked.</w:t>
      </w:r>
    </w:p>
    <w:p w14:paraId="01BF5EFD"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question, therefore, is whether “performed liberation” can genuinely be gender-neutral.</w:t>
      </w:r>
    </w:p>
    <w:p w14:paraId="25ABC975"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Several tensions emerge here.</w:t>
      </w:r>
    </w:p>
    <w:p w14:paraId="4A5C542A"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5315A4C0"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lastRenderedPageBreak/>
        <w:t>First, many tantric texts rhetorically elevate feminine wisdom while simultaneously preserving male-centered ritual structures. Miranda Shaw has challenged older Orientalist scholarship that portrayed women in Tantra merely as ritual instruments, arguing instead for the active agency of female practitioners (Shaw 1994). However, other scholars remain more cautious, noting that textual celebration of feminine power does not necessarily translate into social equality. The symbolic exaltation of the feminine may coexist with patriarchal institutional structures.</w:t>
      </w:r>
    </w:p>
    <w:p w14:paraId="005E3D42"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3A60C8D8"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Second, ritual transgression itself is gendered differently. Practices involving sexual symbolism, bodily substances, cremation grounds, or anti-caste gestures may destabilize social norms, yet the risks and consequences of transgression are rarely identical for male and female practitioners. Geoffrey Samuel observes that tantric traditions often negotiate tensions between ascetic renunciation and embodied ritual engagement through highly controlled initiatory systems (Samuel 2008). Access to ritual authority therefore remains socially mediated.</w:t>
      </w:r>
    </w:p>
    <w:p w14:paraId="2E05E555"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333BAE18"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13929BC0"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Third, the category of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complicates gender further. In Siddha and Sahajiyā traditions,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frequently appears as a state beyond dualistic distinction. Yet the path toward this non-duality is often articulated through erotic polarity, union imagery, and gendered ritual symbolism. The language of transcending gender paradoxically depends upon gendered embodiment.</w:t>
      </w:r>
    </w:p>
    <w:p w14:paraId="7A6DBDBC"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5F14BCD9"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Within the </w:t>
      </w:r>
      <w:r w:rsidRPr="00C31BBE">
        <w:rPr>
          <w:rFonts w:ascii="Times New Roman" w:eastAsia="Times New Roman" w:hAnsi="Times New Roman" w:cs="Times New Roman"/>
          <w:i/>
          <w:iCs/>
          <w:color w:val="000000"/>
          <w:kern w:val="0"/>
          <w:szCs w:val="24"/>
          <w:lang w:eastAsia="en-GB"/>
          <w14:ligatures w14:val="none"/>
        </w:rPr>
        <w:t>Caryāpada</w:t>
      </w:r>
      <w:r w:rsidRPr="00C31BBE">
        <w:rPr>
          <w:rFonts w:ascii="Times New Roman" w:eastAsia="Times New Roman" w:hAnsi="Times New Roman" w:cs="Times New Roman"/>
          <w:color w:val="000000"/>
          <w:kern w:val="0"/>
          <w:szCs w:val="24"/>
          <w:lang w:eastAsia="en-GB"/>
          <w14:ligatures w14:val="none"/>
        </w:rPr>
        <w:t>, this ambiguity is repeatedly visible. Female figures appear as:</w:t>
      </w:r>
    </w:p>
    <w:p w14:paraId="399DABB9" w14:textId="77777777" w:rsidR="00882031" w:rsidRPr="00C31BBE" w:rsidRDefault="00882031" w:rsidP="00882031">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lovers,</w:t>
      </w:r>
    </w:p>
    <w:p w14:paraId="70D19858" w14:textId="77777777" w:rsidR="00882031" w:rsidRPr="00C31BBE" w:rsidRDefault="00882031" w:rsidP="00882031">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householders,</w:t>
      </w:r>
    </w:p>
    <w:p w14:paraId="33CE5464" w14:textId="77777777" w:rsidR="00882031" w:rsidRPr="00C31BBE" w:rsidRDefault="00882031" w:rsidP="00882031">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yogic symbols,</w:t>
      </w:r>
    </w:p>
    <w:p w14:paraId="0D8853E0" w14:textId="77777777" w:rsidR="00882031" w:rsidRPr="00C31BBE" w:rsidRDefault="00882031" w:rsidP="00882031">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embodiments of hidden wisdom.</w:t>
      </w:r>
    </w:p>
    <w:p w14:paraId="42068028"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0E6F58D3" w14:textId="77777777" w:rsidR="00882031"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songs frequently oscillate between erotic immediacy and contemplative instruction. Dance, bodily union, and sensory pleasure become vehicles of coded esoteric meaning. Ronald Davidson therefore cautions that tantric texts should be read within their social and institutional context rather than romanticized as purely antinomian mysticism (Davidson 2002). The Siddhācāryas operated within complex monastic, royal, and ritual networks that shaped how gender and embodiment were imagined.</w:t>
      </w:r>
    </w:p>
    <w:p w14:paraId="60AF4568"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p>
    <w:p w14:paraId="3F068DCF" w14:textId="77777777" w:rsidR="00882031"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concept of “performed liberation” must therefore remain critically self-aware. Liberation enacted through dance and song may indeed challenge rigid distinctions between body and spirit, sacred and profane, or male and female. Yet such ritual enactment does not automatically dissolve power relations. Rather, Yoginītantra traditions reveal liberation itself as a contested terrain in which embodiment, desire, authority, and gender remain dynamically entangled.</w:t>
      </w:r>
    </w:p>
    <w:p w14:paraId="797B0EAB"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p>
    <w:p w14:paraId="00EEB979"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complexity ultimately strengthens, rather than weakens, the argument of the present essay.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does not present liberation as abstract transcendence detached from embodied life. Instead, it locates awakening within the unstable field of sensory experience, ritual movement, erotic ambiguity, and gendered embodiment. The dance of the Yoginītantra is therefore not simply symbolic performance. It is a ritual negotiation of power, desire, knowledge, and transformation enacted through the body itself.</w:t>
      </w:r>
    </w:p>
    <w:p w14:paraId="2E5BE4D7" w14:textId="77777777" w:rsidR="008C2FD7" w:rsidRDefault="008C2FD7" w:rsidP="00AF49A4">
      <w:pPr>
        <w:rPr>
          <w:rFonts w:ascii="Times New Roman" w:eastAsia="Times New Roman" w:hAnsi="Times New Roman" w:cs="Times New Roman"/>
          <w:color w:val="000000"/>
          <w:kern w:val="0"/>
          <w:szCs w:val="24"/>
          <w:lang w:eastAsia="en-GB"/>
          <w14:ligatures w14:val="none"/>
        </w:rPr>
      </w:pPr>
    </w:p>
    <w:p w14:paraId="7ED50007" w14:textId="77777777" w:rsidR="002051B7" w:rsidRDefault="002051B7" w:rsidP="00AF49A4">
      <w:pPr>
        <w:rPr>
          <w:rFonts w:ascii="Times New Roman" w:eastAsia="Times New Roman" w:hAnsi="Times New Roman" w:cs="Times New Roman"/>
          <w:color w:val="000000"/>
          <w:kern w:val="0"/>
          <w:szCs w:val="24"/>
          <w:lang w:eastAsia="en-GB"/>
          <w14:ligatures w14:val="none"/>
        </w:rPr>
      </w:pPr>
    </w:p>
    <w:p w14:paraId="4FF8D862" w14:textId="02B1C0EF" w:rsidR="002051B7" w:rsidRPr="002051B7" w:rsidRDefault="002051B7" w:rsidP="00AF49A4">
      <w:pPr>
        <w:outlineLvl w:val="1"/>
        <w:rPr>
          <w:rFonts w:ascii="Times New Roman" w:eastAsia="Times New Roman" w:hAnsi="Times New Roman" w:cs="Times New Roman"/>
          <w:b/>
          <w:bCs/>
          <w:color w:val="000000"/>
          <w:kern w:val="0"/>
          <w:sz w:val="36"/>
          <w:szCs w:val="36"/>
          <w:lang w:eastAsia="en-GB"/>
          <w14:ligatures w14:val="none"/>
        </w:rPr>
      </w:pPr>
      <w:r w:rsidRPr="002051B7">
        <w:rPr>
          <w:rFonts w:ascii="Times New Roman" w:eastAsia="Times New Roman" w:hAnsi="Times New Roman" w:cs="Times New Roman"/>
          <w:b/>
          <w:bCs/>
          <w:color w:val="000000"/>
          <w:kern w:val="0"/>
          <w:sz w:val="36"/>
          <w:szCs w:val="36"/>
          <w:lang w:eastAsia="en-GB"/>
          <w14:ligatures w14:val="none"/>
        </w:rPr>
        <w:t xml:space="preserve">2. Theoretical Synthesis: Catherine Bell, Thomas Csordas, and </w:t>
      </w:r>
      <w:r w:rsidR="00AD79C7">
        <w:rPr>
          <w:rFonts w:ascii="Times New Roman" w:eastAsia="Times New Roman" w:hAnsi="Times New Roman" w:cs="Times New Roman"/>
          <w:b/>
          <w:bCs/>
          <w:color w:val="000000"/>
          <w:kern w:val="0"/>
          <w:sz w:val="36"/>
          <w:szCs w:val="36"/>
          <w:lang w:eastAsia="en-GB"/>
          <w14:ligatures w14:val="none"/>
        </w:rPr>
        <w:t>a</w:t>
      </w:r>
      <w:r w:rsidRPr="002051B7">
        <w:rPr>
          <w:rFonts w:ascii="Times New Roman" w:eastAsia="Times New Roman" w:hAnsi="Times New Roman" w:cs="Times New Roman"/>
          <w:b/>
          <w:bCs/>
          <w:color w:val="000000"/>
          <w:kern w:val="0"/>
          <w:sz w:val="36"/>
          <w:szCs w:val="36"/>
          <w:lang w:eastAsia="en-GB"/>
          <w14:ligatures w14:val="none"/>
        </w:rPr>
        <w:t xml:space="preserve"> Case</w:t>
      </w:r>
      <w:r w:rsidR="00AD79C7">
        <w:rPr>
          <w:rFonts w:ascii="Times New Roman" w:eastAsia="Times New Roman" w:hAnsi="Times New Roman" w:cs="Times New Roman"/>
          <w:b/>
          <w:bCs/>
          <w:color w:val="000000"/>
          <w:kern w:val="0"/>
          <w:sz w:val="36"/>
          <w:szCs w:val="36"/>
          <w:lang w:eastAsia="en-GB"/>
          <w14:ligatures w14:val="none"/>
        </w:rPr>
        <w:t>-study</w:t>
      </w:r>
      <w:r w:rsidRPr="002051B7">
        <w:rPr>
          <w:rFonts w:ascii="Times New Roman" w:eastAsia="Times New Roman" w:hAnsi="Times New Roman" w:cs="Times New Roman"/>
          <w:b/>
          <w:bCs/>
          <w:color w:val="000000"/>
          <w:kern w:val="0"/>
          <w:sz w:val="36"/>
          <w:szCs w:val="36"/>
          <w:lang w:eastAsia="en-GB"/>
          <w14:ligatures w14:val="none"/>
        </w:rPr>
        <w:t xml:space="preserve"> of </w:t>
      </w:r>
      <w:r w:rsidR="00AD79C7">
        <w:rPr>
          <w:rFonts w:ascii="Times New Roman" w:eastAsia="Times New Roman" w:hAnsi="Times New Roman" w:cs="Times New Roman"/>
          <w:b/>
          <w:bCs/>
          <w:color w:val="000000"/>
          <w:kern w:val="0"/>
          <w:sz w:val="36"/>
          <w:szCs w:val="36"/>
          <w:lang w:eastAsia="en-GB"/>
          <w14:ligatures w14:val="none"/>
        </w:rPr>
        <w:t>the ‘</w:t>
      </w:r>
      <w:r w:rsidRPr="002051B7">
        <w:rPr>
          <w:rFonts w:ascii="Times New Roman" w:eastAsia="Times New Roman" w:hAnsi="Times New Roman" w:cs="Times New Roman"/>
          <w:b/>
          <w:bCs/>
          <w:i/>
          <w:iCs/>
          <w:color w:val="000000"/>
          <w:kern w:val="0"/>
          <w:sz w:val="36"/>
          <w:szCs w:val="36"/>
          <w:lang w:eastAsia="en-GB"/>
          <w14:ligatures w14:val="none"/>
        </w:rPr>
        <w:t>Semā</w:t>
      </w:r>
      <w:r w:rsidR="00AD79C7">
        <w:rPr>
          <w:rFonts w:ascii="Times New Roman" w:eastAsia="Times New Roman" w:hAnsi="Times New Roman" w:cs="Times New Roman"/>
          <w:b/>
          <w:bCs/>
          <w:i/>
          <w:iCs/>
          <w:color w:val="000000"/>
          <w:kern w:val="0"/>
          <w:sz w:val="36"/>
          <w:szCs w:val="36"/>
          <w:lang w:eastAsia="en-GB"/>
          <w14:ligatures w14:val="none"/>
        </w:rPr>
        <w:t>’</w:t>
      </w:r>
    </w:p>
    <w:p w14:paraId="1891F8D4" w14:textId="77777777" w:rsidR="002051B7" w:rsidRPr="002051B7" w:rsidRDefault="002051B7" w:rsidP="00AF49A4">
      <w:pPr>
        <w:outlineLvl w:val="2"/>
        <w:rPr>
          <w:rFonts w:ascii="Times New Roman" w:eastAsia="Times New Roman" w:hAnsi="Times New Roman" w:cs="Times New Roman"/>
          <w:b/>
          <w:bCs/>
          <w:color w:val="000000"/>
          <w:kern w:val="0"/>
          <w:sz w:val="27"/>
          <w:szCs w:val="27"/>
          <w:lang w:eastAsia="en-GB"/>
          <w14:ligatures w14:val="none"/>
        </w:rPr>
      </w:pPr>
      <w:r w:rsidRPr="002051B7">
        <w:rPr>
          <w:rFonts w:ascii="Times New Roman" w:eastAsia="Times New Roman" w:hAnsi="Times New Roman" w:cs="Times New Roman"/>
          <w:b/>
          <w:bCs/>
          <w:color w:val="000000"/>
          <w:kern w:val="0"/>
          <w:sz w:val="27"/>
          <w:szCs w:val="27"/>
          <w:lang w:eastAsia="en-GB"/>
          <w14:ligatures w14:val="none"/>
        </w:rPr>
        <w:t>Catherine Bell: Ritualization</w:t>
      </w:r>
    </w:p>
    <w:p w14:paraId="33038C99"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In </w:t>
      </w:r>
      <w:r w:rsidRPr="002051B7">
        <w:rPr>
          <w:rFonts w:ascii="Times New Roman" w:eastAsia="Times New Roman" w:hAnsi="Times New Roman" w:cs="Times New Roman"/>
          <w:i/>
          <w:iCs/>
          <w:color w:val="000000"/>
          <w:kern w:val="0"/>
          <w:szCs w:val="24"/>
          <w:lang w:eastAsia="en-GB"/>
          <w14:ligatures w14:val="none"/>
        </w:rPr>
        <w:t>Ritual Theory, Ritual Practice</w:t>
      </w:r>
      <w:r w:rsidRPr="002051B7">
        <w:rPr>
          <w:rFonts w:ascii="Times New Roman" w:eastAsia="Times New Roman" w:hAnsi="Times New Roman" w:cs="Times New Roman"/>
          <w:color w:val="000000"/>
          <w:kern w:val="0"/>
          <w:szCs w:val="24"/>
          <w:lang w:eastAsia="en-GB"/>
          <w14:ligatures w14:val="none"/>
        </w:rPr>
        <w:t>, Catherine Bell argues that ritual should not be understood as a fixed category of activity, but rather as a process of </w:t>
      </w:r>
      <w:r w:rsidRPr="002051B7">
        <w:rPr>
          <w:rFonts w:ascii="Times New Roman" w:eastAsia="Times New Roman" w:hAnsi="Times New Roman" w:cs="Times New Roman"/>
          <w:i/>
          <w:iCs/>
          <w:color w:val="000000"/>
          <w:kern w:val="0"/>
          <w:szCs w:val="24"/>
          <w:lang w:eastAsia="en-GB"/>
          <w14:ligatures w14:val="none"/>
        </w:rPr>
        <w:t>ritualization</w:t>
      </w:r>
      <w:r w:rsidRPr="002051B7">
        <w:rPr>
          <w:rFonts w:ascii="Times New Roman" w:eastAsia="Times New Roman" w:hAnsi="Times New Roman" w:cs="Times New Roman"/>
          <w:color w:val="000000"/>
          <w:kern w:val="0"/>
          <w:szCs w:val="24"/>
          <w:lang w:eastAsia="en-GB"/>
          <w14:ligatures w14:val="none"/>
        </w:rPr>
        <w:t>—a strategic and embodied mode of action through which certain practices are distinguished from ordinary behavior and endowed with authority and significance (Bell 1992).</w:t>
      </w:r>
    </w:p>
    <w:p w14:paraId="48F90021" w14:textId="77777777" w:rsidR="00AD79C7" w:rsidRDefault="00AD79C7" w:rsidP="00AF49A4">
      <w:pPr>
        <w:rPr>
          <w:rFonts w:ascii="Times New Roman" w:eastAsia="Times New Roman" w:hAnsi="Times New Roman" w:cs="Times New Roman"/>
          <w:color w:val="000000"/>
          <w:kern w:val="0"/>
          <w:szCs w:val="24"/>
          <w:lang w:eastAsia="en-GB"/>
          <w14:ligatures w14:val="none"/>
        </w:rPr>
      </w:pPr>
    </w:p>
    <w:p w14:paraId="6302837D" w14:textId="3385E9DD" w:rsid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From this perspective,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does not merely describe dance and song as artistic forms; rather, it ritualizes them. Dance becomes differentiated from entertainment and transformed into contemplative praxis. Song ceases to function as aesthetic ornamentation and instead becomes an embodied vehicle of realization.</w:t>
      </w:r>
      <w:r w:rsidR="00AD79C7">
        <w:rPr>
          <w:rFonts w:ascii="Times New Roman" w:eastAsia="Times New Roman" w:hAnsi="Times New Roman" w:cs="Times New Roman"/>
          <w:color w:val="000000"/>
          <w:kern w:val="0"/>
          <w:szCs w:val="24"/>
          <w:lang w:eastAsia="en-GB"/>
          <w14:ligatures w14:val="none"/>
        </w:rPr>
        <w:t xml:space="preserve"> </w:t>
      </w:r>
      <w:r w:rsidRPr="002051B7">
        <w:rPr>
          <w:rFonts w:ascii="Times New Roman" w:eastAsia="Times New Roman" w:hAnsi="Times New Roman" w:cs="Times New Roman"/>
          <w:color w:val="000000"/>
          <w:kern w:val="0"/>
          <w:szCs w:val="24"/>
          <w:lang w:eastAsia="en-GB"/>
          <w14:ligatures w14:val="none"/>
        </w:rPr>
        <w:t>Bell’s framework is especially valuable because it shifts attention away from symbolic interpretation alone and toward the bodily strategies through which sacred action is produced. In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ritual authority emerges not through doctrinal abstraction but through disciplined bodily enactment.</w:t>
      </w:r>
    </w:p>
    <w:p w14:paraId="727B3384" w14:textId="5078422F" w:rsidR="002051B7" w:rsidRPr="002051B7" w:rsidRDefault="002051B7" w:rsidP="00AF49A4">
      <w:pPr>
        <w:rPr>
          <w:rFonts w:ascii="Times New Roman" w:eastAsia="Times New Roman" w:hAnsi="Times New Roman" w:cs="Times New Roman"/>
          <w:kern w:val="0"/>
          <w:szCs w:val="24"/>
          <w:lang w:eastAsia="en-GB"/>
          <w14:ligatures w14:val="none"/>
        </w:rPr>
      </w:pPr>
    </w:p>
    <w:p w14:paraId="7B743860" w14:textId="77777777" w:rsidR="002051B7" w:rsidRPr="002051B7" w:rsidRDefault="002051B7" w:rsidP="00AF49A4">
      <w:pPr>
        <w:outlineLvl w:val="2"/>
        <w:rPr>
          <w:rFonts w:ascii="Times New Roman" w:eastAsia="Times New Roman" w:hAnsi="Times New Roman" w:cs="Times New Roman"/>
          <w:b/>
          <w:bCs/>
          <w:color w:val="000000"/>
          <w:kern w:val="0"/>
          <w:sz w:val="27"/>
          <w:szCs w:val="27"/>
          <w:lang w:eastAsia="en-GB"/>
          <w14:ligatures w14:val="none"/>
        </w:rPr>
      </w:pPr>
      <w:r w:rsidRPr="002051B7">
        <w:rPr>
          <w:rFonts w:ascii="Times New Roman" w:eastAsia="Times New Roman" w:hAnsi="Times New Roman" w:cs="Times New Roman"/>
          <w:b/>
          <w:bCs/>
          <w:color w:val="000000"/>
          <w:kern w:val="0"/>
          <w:sz w:val="27"/>
          <w:szCs w:val="27"/>
          <w:lang w:eastAsia="en-GB"/>
          <w14:ligatures w14:val="none"/>
        </w:rPr>
        <w:t>Thomas Csordas: Embodiment</w:t>
      </w:r>
    </w:p>
    <w:p w14:paraId="34A3AA98" w14:textId="77777777" w:rsid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Thomas J. Csordas, particularly in </w:t>
      </w:r>
      <w:r w:rsidRPr="002051B7">
        <w:rPr>
          <w:rFonts w:ascii="Times New Roman" w:eastAsia="Times New Roman" w:hAnsi="Times New Roman" w:cs="Times New Roman"/>
          <w:i/>
          <w:iCs/>
          <w:color w:val="000000"/>
          <w:kern w:val="0"/>
          <w:szCs w:val="24"/>
          <w:lang w:eastAsia="en-GB"/>
          <w14:ligatures w14:val="none"/>
        </w:rPr>
        <w:t>Embodiment and Experience</w:t>
      </w:r>
      <w:r w:rsidRPr="002051B7">
        <w:rPr>
          <w:rFonts w:ascii="Times New Roman" w:eastAsia="Times New Roman" w:hAnsi="Times New Roman" w:cs="Times New Roman"/>
          <w:color w:val="000000"/>
          <w:kern w:val="0"/>
          <w:szCs w:val="24"/>
          <w:lang w:eastAsia="en-GB"/>
          <w14:ligatures w14:val="none"/>
        </w:rPr>
        <w:t> (1994), proposes embodiment as the “existential ground of culture and self.” Rejecting Cartesian mind-body dualism, Csordas conceptualizes the body not as an object of culture but as the very subject through which culture is experienced and constituted.</w:t>
      </w:r>
    </w:p>
    <w:p w14:paraId="7447F71B" w14:textId="77777777" w:rsidR="00AD79C7" w:rsidRPr="002051B7" w:rsidRDefault="00AD79C7" w:rsidP="00AF49A4">
      <w:pPr>
        <w:rPr>
          <w:rFonts w:ascii="Times New Roman" w:eastAsia="Times New Roman" w:hAnsi="Times New Roman" w:cs="Times New Roman"/>
          <w:color w:val="000000"/>
          <w:kern w:val="0"/>
          <w:szCs w:val="24"/>
          <w:lang w:eastAsia="en-GB"/>
          <w14:ligatures w14:val="none"/>
        </w:rPr>
      </w:pPr>
    </w:p>
    <w:p w14:paraId="05D45C78"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This framework resonates deeply with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The tantric body is not a prison from which liberation must escape; it is the primary site through which awakening becomes possible. Dance, therefore, is not supplementary to enlightenment but constitutive of it.</w:t>
      </w:r>
    </w:p>
    <w:p w14:paraId="01B50047" w14:textId="07DFC53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Csordas’s notion of </w:t>
      </w:r>
      <w:r w:rsidRPr="002051B7">
        <w:rPr>
          <w:rFonts w:ascii="Times New Roman" w:eastAsia="Times New Roman" w:hAnsi="Times New Roman" w:cs="Times New Roman"/>
          <w:i/>
          <w:iCs/>
          <w:color w:val="000000"/>
          <w:kern w:val="0"/>
          <w:szCs w:val="24"/>
          <w:lang w:eastAsia="en-GB"/>
          <w14:ligatures w14:val="none"/>
        </w:rPr>
        <w:t>indeterminacy</w:t>
      </w:r>
      <w:r w:rsidRPr="002051B7">
        <w:rPr>
          <w:rFonts w:ascii="Times New Roman" w:eastAsia="Times New Roman" w:hAnsi="Times New Roman" w:cs="Times New Roman"/>
          <w:color w:val="000000"/>
          <w:kern w:val="0"/>
          <w:szCs w:val="24"/>
          <w:lang w:eastAsia="en-GB"/>
          <w14:ligatures w14:val="none"/>
        </w:rPr>
        <w:t>—the pre-objective ambiguity of embodied experience—also parallels the tantric concept of </w:t>
      </w:r>
      <w:r w:rsidRPr="002051B7">
        <w:rPr>
          <w:rFonts w:ascii="Times New Roman" w:eastAsia="Times New Roman" w:hAnsi="Times New Roman" w:cs="Times New Roman"/>
          <w:i/>
          <w:iCs/>
          <w:color w:val="000000"/>
          <w:kern w:val="0"/>
          <w:szCs w:val="24"/>
          <w:lang w:eastAsia="en-GB"/>
          <w14:ligatures w14:val="none"/>
        </w:rPr>
        <w:t>sahaja</w:t>
      </w:r>
      <w:r w:rsidRPr="002051B7">
        <w:rPr>
          <w:rFonts w:ascii="Times New Roman" w:eastAsia="Times New Roman" w:hAnsi="Times New Roman" w:cs="Times New Roman"/>
          <w:color w:val="000000"/>
          <w:kern w:val="0"/>
          <w:szCs w:val="24"/>
          <w:lang w:eastAsia="en-GB"/>
          <w14:ligatures w14:val="none"/>
        </w:rPr>
        <w:t>. The state of </w:t>
      </w:r>
      <w:r w:rsidRPr="002051B7">
        <w:rPr>
          <w:rFonts w:ascii="Times New Roman" w:eastAsia="Times New Roman" w:hAnsi="Times New Roman" w:cs="Times New Roman"/>
          <w:i/>
          <w:iCs/>
          <w:color w:val="000000"/>
          <w:kern w:val="0"/>
          <w:szCs w:val="24"/>
          <w:lang w:eastAsia="en-GB"/>
          <w14:ligatures w14:val="none"/>
        </w:rPr>
        <w:t>sahaja</w:t>
      </w:r>
      <w:r w:rsidRPr="002051B7">
        <w:rPr>
          <w:rFonts w:ascii="Times New Roman" w:eastAsia="Times New Roman" w:hAnsi="Times New Roman" w:cs="Times New Roman"/>
          <w:color w:val="000000"/>
          <w:kern w:val="0"/>
          <w:szCs w:val="24"/>
          <w:lang w:eastAsia="en-GB"/>
          <w14:ligatures w14:val="none"/>
        </w:rPr>
        <w:t> cannot be fully reduced to conceptual categories or doctrinal propositions. It is experienced somatically, ritually, and affectively before it is intellectually articulated.Thus,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may be read not merely as a doctrinal text but as a manual of embodied transformation.</w:t>
      </w:r>
    </w:p>
    <w:p w14:paraId="17D8510D" w14:textId="6A300D39" w:rsidR="002051B7" w:rsidRPr="002051B7" w:rsidRDefault="002051B7" w:rsidP="00AF49A4">
      <w:pPr>
        <w:rPr>
          <w:rFonts w:ascii="Times New Roman" w:eastAsia="Times New Roman" w:hAnsi="Times New Roman" w:cs="Times New Roman"/>
          <w:kern w:val="0"/>
          <w:szCs w:val="24"/>
          <w:lang w:eastAsia="en-GB"/>
          <w14:ligatures w14:val="none"/>
        </w:rPr>
      </w:pPr>
    </w:p>
    <w:p w14:paraId="60AA2E79" w14:textId="2611536B" w:rsidR="002051B7" w:rsidRPr="002051B7" w:rsidRDefault="002051B7" w:rsidP="00AF49A4">
      <w:pPr>
        <w:outlineLvl w:val="1"/>
        <w:rPr>
          <w:rFonts w:ascii="Times New Roman" w:eastAsia="Times New Roman" w:hAnsi="Times New Roman" w:cs="Times New Roman"/>
          <w:b/>
          <w:bCs/>
          <w:color w:val="000000"/>
          <w:kern w:val="0"/>
          <w:sz w:val="36"/>
          <w:szCs w:val="36"/>
          <w:lang w:eastAsia="en-GB"/>
          <w14:ligatures w14:val="none"/>
        </w:rPr>
      </w:pPr>
      <w:r w:rsidRPr="002051B7">
        <w:rPr>
          <w:rFonts w:ascii="Times New Roman" w:eastAsia="Times New Roman" w:hAnsi="Times New Roman" w:cs="Times New Roman"/>
          <w:b/>
          <w:bCs/>
          <w:color w:val="000000"/>
          <w:kern w:val="0"/>
          <w:sz w:val="36"/>
          <w:szCs w:val="36"/>
          <w:lang w:eastAsia="en-GB"/>
          <w14:ligatures w14:val="none"/>
        </w:rPr>
        <w:t>The </w:t>
      </w:r>
      <w:r w:rsidRPr="002051B7">
        <w:rPr>
          <w:rFonts w:ascii="Times New Roman" w:eastAsia="Times New Roman" w:hAnsi="Times New Roman" w:cs="Times New Roman"/>
          <w:b/>
          <w:bCs/>
          <w:i/>
          <w:iCs/>
          <w:color w:val="000000"/>
          <w:kern w:val="0"/>
          <w:sz w:val="36"/>
          <w:szCs w:val="36"/>
          <w:lang w:eastAsia="en-GB"/>
          <w14:ligatures w14:val="none"/>
        </w:rPr>
        <w:t>Semā</w:t>
      </w:r>
      <w:r w:rsidRPr="002051B7">
        <w:rPr>
          <w:rFonts w:ascii="Times New Roman" w:eastAsia="Times New Roman" w:hAnsi="Times New Roman" w:cs="Times New Roman"/>
          <w:b/>
          <w:bCs/>
          <w:color w:val="000000"/>
          <w:kern w:val="0"/>
          <w:sz w:val="36"/>
          <w:szCs w:val="36"/>
          <w:lang w:eastAsia="en-GB"/>
          <w14:ligatures w14:val="none"/>
        </w:rPr>
        <w:t> </w:t>
      </w:r>
      <w:r w:rsidR="006E3ACB">
        <w:rPr>
          <w:rFonts w:ascii="Times New Roman" w:eastAsia="Times New Roman" w:hAnsi="Times New Roman" w:cs="Times New Roman"/>
          <w:b/>
          <w:bCs/>
          <w:color w:val="000000"/>
          <w:kern w:val="0"/>
          <w:sz w:val="36"/>
          <w:szCs w:val="36"/>
          <w:lang w:eastAsia="en-GB"/>
          <w14:ligatures w14:val="none"/>
        </w:rPr>
        <w:t>–</w:t>
      </w:r>
      <w:r w:rsidR="00AD79C7">
        <w:rPr>
          <w:rFonts w:ascii="Times New Roman" w:eastAsia="Times New Roman" w:hAnsi="Times New Roman" w:cs="Times New Roman"/>
          <w:b/>
          <w:bCs/>
          <w:color w:val="000000"/>
          <w:kern w:val="0"/>
          <w:sz w:val="36"/>
          <w:szCs w:val="36"/>
          <w:lang w:eastAsia="en-GB"/>
          <w14:ligatures w14:val="none"/>
        </w:rPr>
        <w:t xml:space="preserve"> a</w:t>
      </w:r>
      <w:r w:rsidR="006E3ACB">
        <w:rPr>
          <w:rFonts w:ascii="Times New Roman" w:eastAsia="Times New Roman" w:hAnsi="Times New Roman" w:cs="Times New Roman"/>
          <w:b/>
          <w:bCs/>
          <w:color w:val="000000"/>
          <w:kern w:val="0"/>
          <w:sz w:val="36"/>
          <w:szCs w:val="36"/>
          <w:lang w:eastAsia="en-GB"/>
          <w14:ligatures w14:val="none"/>
        </w:rPr>
        <w:t xml:space="preserve"> </w:t>
      </w:r>
      <w:r w:rsidRPr="002051B7">
        <w:rPr>
          <w:rFonts w:ascii="Times New Roman" w:eastAsia="Times New Roman" w:hAnsi="Times New Roman" w:cs="Times New Roman"/>
          <w:b/>
          <w:bCs/>
          <w:color w:val="000000"/>
          <w:kern w:val="0"/>
          <w:sz w:val="36"/>
          <w:szCs w:val="36"/>
          <w:lang w:eastAsia="en-GB"/>
          <w14:ligatures w14:val="none"/>
        </w:rPr>
        <w:t>Case Study: Cross-Cultural Resonances</w:t>
      </w:r>
    </w:p>
    <w:p w14:paraId="6D284F6A" w14:textId="41C4D844"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The </w:t>
      </w:r>
      <w:r w:rsidRPr="002051B7">
        <w:rPr>
          <w:rFonts w:ascii="Times New Roman" w:eastAsia="Times New Roman" w:hAnsi="Times New Roman" w:cs="Times New Roman"/>
          <w:i/>
          <w:iCs/>
          <w:color w:val="000000"/>
          <w:kern w:val="0"/>
          <w:szCs w:val="24"/>
          <w:lang w:eastAsia="en-GB"/>
          <w14:ligatures w14:val="none"/>
        </w:rPr>
        <w:t>Semā</w:t>
      </w:r>
      <w:r w:rsidRPr="002051B7">
        <w:rPr>
          <w:rFonts w:ascii="Times New Roman" w:eastAsia="Times New Roman" w:hAnsi="Times New Roman" w:cs="Times New Roman"/>
          <w:color w:val="000000"/>
          <w:kern w:val="0"/>
          <w:szCs w:val="24"/>
          <w:lang w:eastAsia="en-GB"/>
          <w14:ligatures w14:val="none"/>
        </w:rPr>
        <w:t> ceremony of the Mevlevi Sufi order in Turkey provides an illuminating comparative framework for understanding ritual movement as contemplative embodiment. The whirling dervishes demonstrate how movement itself may function as prayer, remembrance, and transformation.</w:t>
      </w:r>
      <w:r w:rsidR="00AD79C7">
        <w:rPr>
          <w:rFonts w:ascii="Times New Roman" w:eastAsia="Times New Roman" w:hAnsi="Times New Roman" w:cs="Times New Roman"/>
          <w:color w:val="000000"/>
          <w:kern w:val="0"/>
          <w:szCs w:val="24"/>
          <w:lang w:eastAsia="en-GB"/>
          <w14:ligatures w14:val="none"/>
        </w:rPr>
        <w:t xml:space="preserve"> </w:t>
      </w:r>
      <w:r w:rsidRPr="002051B7">
        <w:rPr>
          <w:rFonts w:ascii="Times New Roman" w:eastAsia="Times New Roman" w:hAnsi="Times New Roman" w:cs="Times New Roman"/>
          <w:color w:val="000000"/>
          <w:kern w:val="0"/>
          <w:szCs w:val="24"/>
          <w:lang w:eastAsia="en-GB"/>
          <w14:ligatures w14:val="none"/>
        </w:rPr>
        <w:t>Several structural parallels emerge between </w:t>
      </w:r>
      <w:r w:rsidRPr="002051B7">
        <w:rPr>
          <w:rFonts w:ascii="Times New Roman" w:eastAsia="Times New Roman" w:hAnsi="Times New Roman" w:cs="Times New Roman"/>
          <w:i/>
          <w:iCs/>
          <w:color w:val="000000"/>
          <w:kern w:val="0"/>
          <w:szCs w:val="24"/>
          <w:lang w:eastAsia="en-GB"/>
          <w14:ligatures w14:val="none"/>
        </w:rPr>
        <w:t>Semā</w:t>
      </w:r>
      <w:r w:rsidRPr="002051B7">
        <w:rPr>
          <w:rFonts w:ascii="Times New Roman" w:eastAsia="Times New Roman" w:hAnsi="Times New Roman" w:cs="Times New Roman"/>
          <w:color w:val="000000"/>
          <w:kern w:val="0"/>
          <w:szCs w:val="24"/>
          <w:lang w:eastAsia="en-GB"/>
          <w14:ligatures w14:val="none"/>
        </w:rPr>
        <w:t> and the ritual movement of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w:t>
      </w:r>
    </w:p>
    <w:p w14:paraId="3E7B79D6" w14:textId="77777777" w:rsidR="002051B7" w:rsidRPr="002051B7" w:rsidRDefault="002051B7" w:rsidP="00AF49A4">
      <w:pPr>
        <w:numPr>
          <w:ilvl w:val="0"/>
          <w:numId w:val="1"/>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ritualized costume,</w:t>
      </w:r>
    </w:p>
    <w:p w14:paraId="21FDE8FA" w14:textId="77777777" w:rsidR="002051B7" w:rsidRPr="002051B7" w:rsidRDefault="002051B7" w:rsidP="00AF49A4">
      <w:pPr>
        <w:numPr>
          <w:ilvl w:val="0"/>
          <w:numId w:val="1"/>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repetitive bodily motion,</w:t>
      </w:r>
    </w:p>
    <w:p w14:paraId="24DF7751" w14:textId="77777777" w:rsidR="002051B7" w:rsidRPr="002051B7" w:rsidRDefault="002051B7" w:rsidP="00AF49A4">
      <w:pPr>
        <w:numPr>
          <w:ilvl w:val="0"/>
          <w:numId w:val="1"/>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rhythmic sound,</w:t>
      </w:r>
    </w:p>
    <w:p w14:paraId="2BF1369E" w14:textId="77777777" w:rsidR="002051B7" w:rsidRPr="002051B7" w:rsidRDefault="002051B7" w:rsidP="00AF49A4">
      <w:pPr>
        <w:numPr>
          <w:ilvl w:val="0"/>
          <w:numId w:val="1"/>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altered states of consciousness,</w:t>
      </w:r>
    </w:p>
    <w:p w14:paraId="5FC91D38" w14:textId="77777777" w:rsidR="002051B7" w:rsidRPr="002051B7" w:rsidRDefault="002051B7" w:rsidP="00AF49A4">
      <w:pPr>
        <w:numPr>
          <w:ilvl w:val="0"/>
          <w:numId w:val="1"/>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and movement as contemplative technology.</w:t>
      </w:r>
    </w:p>
    <w:p w14:paraId="55EBA121" w14:textId="77777777" w:rsidR="006E3ACB" w:rsidRDefault="006E3ACB" w:rsidP="00AF49A4">
      <w:pPr>
        <w:rPr>
          <w:rFonts w:ascii="Times New Roman" w:eastAsia="Times New Roman" w:hAnsi="Times New Roman" w:cs="Times New Roman"/>
          <w:color w:val="000000"/>
          <w:kern w:val="0"/>
          <w:szCs w:val="24"/>
          <w:lang w:eastAsia="en-GB"/>
          <w14:ligatures w14:val="none"/>
        </w:rPr>
      </w:pPr>
    </w:p>
    <w:p w14:paraId="4172D4AC" w14:textId="452B70AC"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The Mevlevi dervish’s black cloak (</w:t>
      </w:r>
      <w:r w:rsidRPr="002051B7">
        <w:rPr>
          <w:rFonts w:ascii="Times New Roman" w:eastAsia="Times New Roman" w:hAnsi="Times New Roman" w:cs="Times New Roman"/>
          <w:i/>
          <w:iCs/>
          <w:color w:val="000000"/>
          <w:kern w:val="0"/>
          <w:szCs w:val="24"/>
          <w:lang w:eastAsia="en-GB"/>
          <w14:ligatures w14:val="none"/>
        </w:rPr>
        <w:t>khirqa</w:t>
      </w:r>
      <w:r w:rsidRPr="002051B7">
        <w:rPr>
          <w:rFonts w:ascii="Times New Roman" w:eastAsia="Times New Roman" w:hAnsi="Times New Roman" w:cs="Times New Roman"/>
          <w:color w:val="000000"/>
          <w:kern w:val="0"/>
          <w:szCs w:val="24"/>
          <w:lang w:eastAsia="en-GB"/>
          <w14:ligatures w14:val="none"/>
        </w:rPr>
        <w:t>), symbolizing the shroud of death, and the tall felt hat (</w:t>
      </w:r>
      <w:r w:rsidRPr="002051B7">
        <w:rPr>
          <w:rFonts w:ascii="Times New Roman" w:eastAsia="Times New Roman" w:hAnsi="Times New Roman" w:cs="Times New Roman"/>
          <w:i/>
          <w:iCs/>
          <w:color w:val="000000"/>
          <w:kern w:val="0"/>
          <w:szCs w:val="24"/>
          <w:lang w:eastAsia="en-GB"/>
          <w14:ligatures w14:val="none"/>
        </w:rPr>
        <w:t>sikke</w:t>
      </w:r>
      <w:r w:rsidRPr="002051B7">
        <w:rPr>
          <w:rFonts w:ascii="Times New Roman" w:eastAsia="Times New Roman" w:hAnsi="Times New Roman" w:cs="Times New Roman"/>
          <w:color w:val="000000"/>
          <w:kern w:val="0"/>
          <w:szCs w:val="24"/>
          <w:lang w:eastAsia="en-GB"/>
          <w14:ligatures w14:val="none"/>
        </w:rPr>
        <w:t>), representing the tombstone of the ego, function similarly to the divine ornaments and ritual markers described in tantric practice. In both traditions, the body becomes ritually reconstructed.</w:t>
      </w:r>
    </w:p>
    <w:p w14:paraId="6D559077"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lastRenderedPageBreak/>
        <w:t>Likewise, the circular turning of the dervish parallels the tantric transformation of movement into meditative absorption. Motion is no longer opposed to contemplation; it becomes contemplation.</w:t>
      </w:r>
    </w:p>
    <w:p w14:paraId="7F1E47DA" w14:textId="77777777" w:rsidR="00AD79C7" w:rsidRDefault="00AD79C7" w:rsidP="00AF49A4">
      <w:pPr>
        <w:rPr>
          <w:rFonts w:ascii="Times New Roman" w:eastAsia="Times New Roman" w:hAnsi="Times New Roman" w:cs="Times New Roman"/>
          <w:color w:val="000000"/>
          <w:kern w:val="0"/>
          <w:szCs w:val="24"/>
          <w:lang w:eastAsia="en-GB"/>
          <w14:ligatures w14:val="none"/>
        </w:rPr>
      </w:pPr>
    </w:p>
    <w:p w14:paraId="7A6D3C16" w14:textId="00016FFE"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Yet important theological differences remain.</w:t>
      </w:r>
      <w:r w:rsidR="00AD79C7">
        <w:rPr>
          <w:rFonts w:ascii="Times New Roman" w:eastAsia="Times New Roman" w:hAnsi="Times New Roman" w:cs="Times New Roman"/>
          <w:color w:val="000000"/>
          <w:kern w:val="0"/>
          <w:szCs w:val="24"/>
          <w:lang w:eastAsia="en-GB"/>
          <w14:ligatures w14:val="none"/>
        </w:rPr>
        <w:t xml:space="preserve"> </w:t>
      </w:r>
      <w:r w:rsidRPr="002051B7">
        <w:rPr>
          <w:rFonts w:ascii="Times New Roman" w:eastAsia="Times New Roman" w:hAnsi="Times New Roman" w:cs="Times New Roman"/>
          <w:color w:val="000000"/>
          <w:kern w:val="0"/>
          <w:szCs w:val="24"/>
          <w:lang w:eastAsia="en-GB"/>
          <w14:ligatures w14:val="none"/>
        </w:rPr>
        <w:t>The goal of </w:t>
      </w:r>
      <w:r w:rsidRPr="002051B7">
        <w:rPr>
          <w:rFonts w:ascii="Times New Roman" w:eastAsia="Times New Roman" w:hAnsi="Times New Roman" w:cs="Times New Roman"/>
          <w:i/>
          <w:iCs/>
          <w:color w:val="000000"/>
          <w:kern w:val="0"/>
          <w:szCs w:val="24"/>
          <w:lang w:eastAsia="en-GB"/>
          <w14:ligatures w14:val="none"/>
        </w:rPr>
        <w:t>Semā</w:t>
      </w:r>
      <w:r w:rsidRPr="002051B7">
        <w:rPr>
          <w:rFonts w:ascii="Times New Roman" w:eastAsia="Times New Roman" w:hAnsi="Times New Roman" w:cs="Times New Roman"/>
          <w:color w:val="000000"/>
          <w:kern w:val="0"/>
          <w:szCs w:val="24"/>
          <w:lang w:eastAsia="en-GB"/>
          <w14:ligatures w14:val="none"/>
        </w:rPr>
        <w:t> is union with God (</w:t>
      </w:r>
      <w:r w:rsidRPr="002051B7">
        <w:rPr>
          <w:rFonts w:ascii="Times New Roman" w:eastAsia="Times New Roman" w:hAnsi="Times New Roman" w:cs="Times New Roman"/>
          <w:i/>
          <w:iCs/>
          <w:color w:val="000000"/>
          <w:kern w:val="0"/>
          <w:szCs w:val="24"/>
          <w:lang w:eastAsia="en-GB"/>
          <w14:ligatures w14:val="none"/>
        </w:rPr>
        <w:t>tawḥīd</w:t>
      </w:r>
      <w:r w:rsidRPr="002051B7">
        <w:rPr>
          <w:rFonts w:ascii="Times New Roman" w:eastAsia="Times New Roman" w:hAnsi="Times New Roman" w:cs="Times New Roman"/>
          <w:color w:val="000000"/>
          <w:kern w:val="0"/>
          <w:szCs w:val="24"/>
          <w:lang w:eastAsia="en-GB"/>
          <w14:ligatures w14:val="none"/>
        </w:rPr>
        <w:t>), grounded in a theistic metaphysics centered on divine love. By contrast,</w:t>
      </w:r>
      <w:r w:rsidR="00AD79C7">
        <w:rPr>
          <w:rFonts w:ascii="Times New Roman" w:eastAsia="Times New Roman" w:hAnsi="Times New Roman" w:cs="Times New Roman"/>
          <w:color w:val="000000"/>
          <w:kern w:val="0"/>
          <w:szCs w:val="24"/>
          <w:lang w:eastAsia="en-GB"/>
          <w14:ligatures w14:val="none"/>
        </w:rPr>
        <w:t xml:space="preserve"> </w:t>
      </w:r>
      <w:r w:rsidRPr="002051B7">
        <w:rPr>
          <w:rFonts w:ascii="Times New Roman" w:eastAsia="Times New Roman" w:hAnsi="Times New Roman" w:cs="Times New Roman"/>
          <w:color w:val="000000"/>
          <w:kern w:val="0"/>
          <w:szCs w:val="24"/>
          <w:lang w:eastAsia="en-GB"/>
          <w14:ligatures w14:val="none"/>
        </w:rPr>
        <w:t>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seeks realization of emptiness (</w:t>
      </w:r>
      <w:r w:rsidRPr="002051B7">
        <w:rPr>
          <w:rFonts w:ascii="Times New Roman" w:eastAsia="Times New Roman" w:hAnsi="Times New Roman" w:cs="Times New Roman"/>
          <w:i/>
          <w:iCs/>
          <w:color w:val="000000"/>
          <w:kern w:val="0"/>
          <w:szCs w:val="24"/>
          <w:lang w:eastAsia="en-GB"/>
          <w14:ligatures w14:val="none"/>
        </w:rPr>
        <w:t>śūnyatā</w:t>
      </w:r>
      <w:r w:rsidRPr="002051B7">
        <w:rPr>
          <w:rFonts w:ascii="Times New Roman" w:eastAsia="Times New Roman" w:hAnsi="Times New Roman" w:cs="Times New Roman"/>
          <w:color w:val="000000"/>
          <w:kern w:val="0"/>
          <w:szCs w:val="24"/>
          <w:lang w:eastAsia="en-GB"/>
          <w14:ligatures w14:val="none"/>
        </w:rPr>
        <w:t>) and </w:t>
      </w:r>
      <w:r w:rsidRPr="002051B7">
        <w:rPr>
          <w:rFonts w:ascii="Times New Roman" w:eastAsia="Times New Roman" w:hAnsi="Times New Roman" w:cs="Times New Roman"/>
          <w:i/>
          <w:iCs/>
          <w:color w:val="000000"/>
          <w:kern w:val="0"/>
          <w:szCs w:val="24"/>
          <w:lang w:eastAsia="en-GB"/>
          <w14:ligatures w14:val="none"/>
        </w:rPr>
        <w:t>sahaja</w:t>
      </w:r>
      <w:r w:rsidRPr="002051B7">
        <w:rPr>
          <w:rFonts w:ascii="Times New Roman" w:eastAsia="Times New Roman" w:hAnsi="Times New Roman" w:cs="Times New Roman"/>
          <w:color w:val="000000"/>
          <w:kern w:val="0"/>
          <w:szCs w:val="24"/>
          <w:lang w:eastAsia="en-GB"/>
          <w14:ligatures w14:val="none"/>
        </w:rPr>
        <w:t>, within a fundamentally non-theistic framework. These theological distinctions cannot simply be dissolved into a generalized theory of “sacred movement.”</w:t>
      </w:r>
    </w:p>
    <w:p w14:paraId="68C49CB8" w14:textId="77777777" w:rsidR="00AD79C7" w:rsidRDefault="00AD79C7" w:rsidP="00AF49A4">
      <w:pPr>
        <w:rPr>
          <w:rFonts w:ascii="Times New Roman" w:eastAsia="Times New Roman" w:hAnsi="Times New Roman" w:cs="Times New Roman"/>
          <w:color w:val="000000"/>
          <w:kern w:val="0"/>
          <w:szCs w:val="24"/>
          <w:lang w:eastAsia="en-GB"/>
          <w14:ligatures w14:val="none"/>
        </w:rPr>
      </w:pPr>
    </w:p>
    <w:p w14:paraId="66045490" w14:textId="4B314C2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Furthermore, </w:t>
      </w:r>
      <w:r w:rsidRPr="002051B7">
        <w:rPr>
          <w:rFonts w:ascii="Times New Roman" w:eastAsia="Times New Roman" w:hAnsi="Times New Roman" w:cs="Times New Roman"/>
          <w:i/>
          <w:iCs/>
          <w:color w:val="000000"/>
          <w:kern w:val="0"/>
          <w:szCs w:val="24"/>
          <w:lang w:eastAsia="en-GB"/>
          <w14:ligatures w14:val="none"/>
        </w:rPr>
        <w:t>Semā</w:t>
      </w:r>
      <w:r w:rsidRPr="002051B7">
        <w:rPr>
          <w:rFonts w:ascii="Times New Roman" w:eastAsia="Times New Roman" w:hAnsi="Times New Roman" w:cs="Times New Roman"/>
          <w:color w:val="000000"/>
          <w:kern w:val="0"/>
          <w:szCs w:val="24"/>
          <w:lang w:eastAsia="en-GB"/>
          <w14:ligatures w14:val="none"/>
        </w:rPr>
        <w:t> historically evolved into a partially public performance tradition, increasingly shaped by spectatorship and tourism. The ritual movement described in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however, remains predominantly esoteric and initiatory, performed within closed guru-disciple contexts rather than before public audiences.</w:t>
      </w:r>
      <w:r w:rsidR="00AD79C7">
        <w:rPr>
          <w:rFonts w:ascii="Times New Roman" w:eastAsia="Times New Roman" w:hAnsi="Times New Roman" w:cs="Times New Roman"/>
          <w:color w:val="000000"/>
          <w:kern w:val="0"/>
          <w:szCs w:val="24"/>
          <w:lang w:eastAsia="en-GB"/>
          <w14:ligatures w14:val="none"/>
        </w:rPr>
        <w:t xml:space="preserve"> </w:t>
      </w:r>
      <w:r w:rsidRPr="002051B7">
        <w:rPr>
          <w:rFonts w:ascii="Times New Roman" w:eastAsia="Times New Roman" w:hAnsi="Times New Roman" w:cs="Times New Roman"/>
          <w:color w:val="000000"/>
          <w:kern w:val="0"/>
          <w:szCs w:val="24"/>
          <w:lang w:eastAsia="en-GB"/>
          <w14:ligatures w14:val="none"/>
        </w:rPr>
        <w:t>Consequently, although both traditions exemplify ritual embodiment, the social function of performance differs significantly between them.</w:t>
      </w:r>
    </w:p>
    <w:p w14:paraId="4F2D17D7" w14:textId="77889EAF" w:rsidR="002051B7" w:rsidRDefault="00A96FB6" w:rsidP="00A96FB6">
      <w:pPr>
        <w:tabs>
          <w:tab w:val="left" w:pos="4998"/>
        </w:tabs>
        <w:rPr>
          <w:rFonts w:ascii="Times New Roman" w:eastAsia="Times New Roman" w:hAnsi="Times New Roman" w:cs="Times New Roman"/>
          <w:kern w:val="0"/>
          <w:szCs w:val="24"/>
          <w:lang w:eastAsia="en-GB"/>
          <w14:ligatures w14:val="none"/>
        </w:rPr>
      </w:pPr>
      <w:r>
        <w:rPr>
          <w:rFonts w:ascii="Times New Roman" w:eastAsia="Times New Roman" w:hAnsi="Times New Roman" w:cs="Times New Roman"/>
          <w:kern w:val="0"/>
          <w:szCs w:val="24"/>
          <w:lang w:eastAsia="en-GB"/>
          <w14:ligatures w14:val="none"/>
        </w:rPr>
        <w:tab/>
      </w:r>
    </w:p>
    <w:p w14:paraId="63F2A53A" w14:textId="77777777" w:rsidR="00A96FB6" w:rsidRDefault="00A96FB6" w:rsidP="00A96FB6">
      <w:pPr>
        <w:tabs>
          <w:tab w:val="left" w:pos="4998"/>
        </w:tabs>
        <w:rPr>
          <w:rFonts w:ascii="Times New Roman" w:eastAsia="Times New Roman" w:hAnsi="Times New Roman" w:cs="Times New Roman"/>
          <w:kern w:val="0"/>
          <w:szCs w:val="24"/>
          <w:lang w:eastAsia="en-GB"/>
          <w14:ligatures w14:val="none"/>
        </w:rPr>
      </w:pPr>
    </w:p>
    <w:p w14:paraId="60A79F37" w14:textId="3BB86391" w:rsidR="00A96FB6" w:rsidRDefault="009571F7" w:rsidP="00A96FB6">
      <w:pPr>
        <w:tabs>
          <w:tab w:val="left" w:pos="4998"/>
        </w:tabs>
        <w:rPr>
          <w:rFonts w:ascii="Times New Roman" w:eastAsia="Times New Roman" w:hAnsi="Times New Roman" w:cs="Times New Roman"/>
          <w:kern w:val="0"/>
          <w:szCs w:val="24"/>
          <w:lang w:eastAsia="en-GB"/>
          <w14:ligatures w14:val="none"/>
        </w:rPr>
      </w:pPr>
      <w:r>
        <w:rPr>
          <w:rFonts w:ascii="Times New Roman" w:eastAsia="Times New Roman" w:hAnsi="Times New Roman" w:cs="Times New Roman"/>
          <w:noProof/>
          <w:color w:val="000000"/>
          <w:kern w:val="0"/>
          <w:szCs w:val="24"/>
          <w:lang w:eastAsia="en-GB"/>
        </w:rPr>
        <w:drawing>
          <wp:anchor distT="0" distB="0" distL="114300" distR="114300" simplePos="0" relativeHeight="251664384" behindDoc="1" locked="0" layoutInCell="1" allowOverlap="1" wp14:anchorId="4BBC0D7F" wp14:editId="7EFD3258">
            <wp:simplePos x="0" y="0"/>
            <wp:positionH relativeFrom="margin">
              <wp:posOffset>875030</wp:posOffset>
            </wp:positionH>
            <wp:positionV relativeFrom="paragraph">
              <wp:posOffset>26304</wp:posOffset>
            </wp:positionV>
            <wp:extent cx="3175000" cy="4368800"/>
            <wp:effectExtent l="0" t="0" r="0" b="0"/>
            <wp:wrapTight wrapText="bothSides">
              <wp:wrapPolygon edited="0">
                <wp:start x="0" y="0"/>
                <wp:lineTo x="0" y="21537"/>
                <wp:lineTo x="21514" y="21537"/>
                <wp:lineTo x="21514" y="0"/>
                <wp:lineTo x="0" y="0"/>
              </wp:wrapPolygon>
            </wp:wrapTight>
            <wp:docPr id="417513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13215" name="Picture 417513215"/>
                    <pic:cNvPicPr/>
                  </pic:nvPicPr>
                  <pic:blipFill>
                    <a:blip r:embed="rId8">
                      <a:extLst>
                        <a:ext uri="{28A0092B-C50C-407E-A947-70E740481C1C}">
                          <a14:useLocalDpi xmlns:a14="http://schemas.microsoft.com/office/drawing/2010/main" val="0"/>
                        </a:ext>
                      </a:extLst>
                    </a:blip>
                    <a:stretch>
                      <a:fillRect/>
                    </a:stretch>
                  </pic:blipFill>
                  <pic:spPr>
                    <a:xfrm>
                      <a:off x="0" y="0"/>
                      <a:ext cx="3175000" cy="4368800"/>
                    </a:xfrm>
                    <a:prstGeom prst="rect">
                      <a:avLst/>
                    </a:prstGeom>
                  </pic:spPr>
                </pic:pic>
              </a:graphicData>
            </a:graphic>
            <wp14:sizeRelH relativeFrom="page">
              <wp14:pctWidth>0</wp14:pctWidth>
            </wp14:sizeRelH>
            <wp14:sizeRelV relativeFrom="page">
              <wp14:pctHeight>0</wp14:pctHeight>
            </wp14:sizeRelV>
          </wp:anchor>
        </w:drawing>
      </w:r>
    </w:p>
    <w:p w14:paraId="5A4F642A" w14:textId="50A742BE" w:rsidR="00A96FB6" w:rsidRDefault="00A96FB6" w:rsidP="00A96FB6">
      <w:pPr>
        <w:tabs>
          <w:tab w:val="left" w:pos="4998"/>
        </w:tabs>
        <w:rPr>
          <w:rFonts w:ascii="Times New Roman" w:eastAsia="Times New Roman" w:hAnsi="Times New Roman" w:cs="Times New Roman"/>
          <w:kern w:val="0"/>
          <w:szCs w:val="24"/>
          <w:lang w:eastAsia="en-GB"/>
          <w14:ligatures w14:val="none"/>
        </w:rPr>
      </w:pPr>
    </w:p>
    <w:p w14:paraId="6AF43702" w14:textId="7CFC45D9" w:rsidR="00A96FB6" w:rsidRPr="002051B7" w:rsidRDefault="00A96FB6" w:rsidP="00A96FB6">
      <w:pPr>
        <w:tabs>
          <w:tab w:val="left" w:pos="4998"/>
        </w:tabs>
        <w:rPr>
          <w:rFonts w:ascii="Times New Roman" w:eastAsia="Times New Roman" w:hAnsi="Times New Roman" w:cs="Times New Roman"/>
          <w:kern w:val="0"/>
          <w:szCs w:val="24"/>
          <w:lang w:eastAsia="en-GB"/>
          <w14:ligatures w14:val="none"/>
        </w:rPr>
      </w:pPr>
    </w:p>
    <w:p w14:paraId="2763E268"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71798123"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2E5D9DF0"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F2293C7"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7D1CDFA"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1EAB1237"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60737720"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3ED4B5B"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6D83511C"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C23D23E"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70330CA"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B89B80B"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4B559221"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47FE60B"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7503423B"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44197A8"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8812955"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F51F46D"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6F034C6"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2FECCA01" w14:textId="1997E895" w:rsidR="00A96FB6" w:rsidRDefault="009571F7" w:rsidP="00AF49A4">
      <w:pPr>
        <w:outlineLvl w:val="1"/>
        <w:rPr>
          <w:rFonts w:ascii="Times New Roman" w:eastAsia="Times New Roman" w:hAnsi="Times New Roman" w:cs="Times New Roman"/>
          <w:b/>
          <w:bCs/>
          <w:color w:val="000000"/>
          <w:kern w:val="0"/>
          <w:sz w:val="28"/>
          <w:szCs w:val="28"/>
          <w:lang w:eastAsia="en-GB"/>
          <w14:ligatures w14:val="none"/>
        </w:rPr>
      </w:pPr>
      <w:r>
        <w:rPr>
          <w:rFonts w:ascii="Times New Roman" w:eastAsia="Times New Roman" w:hAnsi="Times New Roman" w:cs="Times New Roman"/>
          <w:noProof/>
          <w:color w:val="000000"/>
          <w:kern w:val="0"/>
          <w:szCs w:val="24"/>
          <w:lang w:eastAsia="en-GB"/>
        </w:rPr>
        <mc:AlternateContent>
          <mc:Choice Requires="wps">
            <w:drawing>
              <wp:anchor distT="0" distB="0" distL="114300" distR="114300" simplePos="0" relativeHeight="251665408" behindDoc="0" locked="0" layoutInCell="1" allowOverlap="1" wp14:anchorId="32FBAB65" wp14:editId="7C865AB6">
                <wp:simplePos x="0" y="0"/>
                <wp:positionH relativeFrom="margin">
                  <wp:posOffset>205105</wp:posOffset>
                </wp:positionH>
                <wp:positionV relativeFrom="paragraph">
                  <wp:posOffset>125484</wp:posOffset>
                </wp:positionV>
                <wp:extent cx="5324338" cy="1897122"/>
                <wp:effectExtent l="12700" t="12700" r="10160" b="8255"/>
                <wp:wrapNone/>
                <wp:docPr id="149006503" name="Text Box 5"/>
                <wp:cNvGraphicFramePr/>
                <a:graphic xmlns:a="http://schemas.openxmlformats.org/drawingml/2006/main">
                  <a:graphicData uri="http://schemas.microsoft.com/office/word/2010/wordprocessingShape">
                    <wps:wsp>
                      <wps:cNvSpPr txBox="1"/>
                      <wps:spPr>
                        <a:xfrm>
                          <a:off x="0" y="0"/>
                          <a:ext cx="5324338" cy="1897122"/>
                        </a:xfrm>
                        <a:prstGeom prst="rect">
                          <a:avLst/>
                        </a:prstGeom>
                        <a:solidFill>
                          <a:srgbClr val="F8F2B8"/>
                        </a:solidFill>
                        <a:ln w="28575">
                          <a:solidFill>
                            <a:prstClr val="black"/>
                          </a:solidFill>
                        </a:ln>
                      </wps:spPr>
                      <wps:txbx>
                        <w:txbxContent>
                          <w:p w14:paraId="35EF3E0A" w14:textId="77777777" w:rsidR="00A96FB6" w:rsidRDefault="00A96FB6" w:rsidP="00A96FB6">
                            <w:pPr>
                              <w:pStyle w:val="NormalWeb"/>
                              <w:rPr>
                                <w:color w:val="000000"/>
                              </w:rPr>
                            </w:pPr>
                            <w:r>
                              <w:rPr>
                                <w:color w:val="000000"/>
                              </w:rPr>
                              <w:t>Shaykh Safi was a follower of the</w:t>
                            </w:r>
                            <w:r>
                              <w:rPr>
                                <w:rStyle w:val="apple-converted-space"/>
                                <w:color w:val="000000"/>
                              </w:rPr>
                              <w:t> </w:t>
                            </w:r>
                            <w:r>
                              <w:rPr>
                                <w:rStyle w:val="Emphasis"/>
                                <w:color w:val="000000"/>
                              </w:rPr>
                              <w:t>samā</w:t>
                            </w:r>
                            <w:r>
                              <w:rPr>
                                <w:rStyle w:val="Emphasis"/>
                                <w:rFonts w:ascii="Arial" w:hAnsi="Arial" w:cs="Arial"/>
                                <w:color w:val="000000"/>
                              </w:rPr>
                              <w:t>ʿ</w:t>
                            </w:r>
                            <w:r>
                              <w:rPr>
                                <w:rStyle w:val="apple-converted-space"/>
                                <w:color w:val="000000"/>
                              </w:rPr>
                              <w:t> </w:t>
                            </w:r>
                            <w:r>
                              <w:rPr>
                                <w:color w:val="000000"/>
                              </w:rPr>
                              <w:t>tradition. The encyclopedia</w:t>
                            </w:r>
                            <w:r>
                              <w:rPr>
                                <w:rStyle w:val="apple-converted-space"/>
                                <w:color w:val="000000"/>
                              </w:rPr>
                              <w:t> </w:t>
                            </w:r>
                            <w:r>
                              <w:rPr>
                                <w:rStyle w:val="Emphasis"/>
                                <w:color w:val="000000"/>
                              </w:rPr>
                              <w:t>Al-Safā</w:t>
                            </w:r>
                            <w:r>
                              <w:rPr>
                                <w:rStyle w:val="apple-converted-space"/>
                                <w:color w:val="000000"/>
                              </w:rPr>
                              <w:t> </w:t>
                            </w:r>
                            <w:r>
                              <w:rPr>
                                <w:color w:val="000000"/>
                              </w:rPr>
                              <w:t>(“The Lives of the Shaykhs of Safi”), written by Ismā</w:t>
                            </w:r>
                            <w:r>
                              <w:rPr>
                                <w:rFonts w:ascii="Arial" w:hAnsi="Arial" w:cs="Arial"/>
                                <w:color w:val="000000"/>
                              </w:rPr>
                              <w:t>ʿ</w:t>
                            </w:r>
                            <w:r>
                              <w:rPr>
                                <w:color w:val="000000"/>
                              </w:rPr>
                              <w:t>īl ibn Bazzāz, was completed in Shiraz in September 1582.</w:t>
                            </w:r>
                          </w:p>
                          <w:p w14:paraId="362BD848" w14:textId="77777777" w:rsidR="00A96FB6" w:rsidRDefault="00A96FB6" w:rsidP="00A96FB6">
                            <w:pPr>
                              <w:pStyle w:val="NormalWeb"/>
                              <w:rPr>
                                <w:color w:val="000000"/>
                              </w:rPr>
                            </w:pPr>
                            <w:r>
                              <w:rPr>
                                <w:rStyle w:val="Emphasis"/>
                                <w:color w:val="000000"/>
                              </w:rPr>
                              <w:t>Samāʿ</w:t>
                            </w:r>
                            <w:r>
                              <w:rPr>
                                <w:rStyle w:val="apple-converted-space"/>
                                <w:color w:val="000000"/>
                              </w:rPr>
                              <w:t> </w:t>
                            </w:r>
                            <w:r>
                              <w:rPr>
                                <w:color w:val="000000"/>
                              </w:rPr>
                              <w:t>(also written as</w:t>
                            </w:r>
                            <w:r>
                              <w:rPr>
                                <w:rStyle w:val="apple-converted-space"/>
                                <w:color w:val="000000"/>
                              </w:rPr>
                              <w:t> </w:t>
                            </w:r>
                            <w:r>
                              <w:rPr>
                                <w:rStyle w:val="Emphasis"/>
                                <w:color w:val="000000"/>
                              </w:rPr>
                              <w:t>sama</w:t>
                            </w:r>
                            <w:r>
                              <w:rPr>
                                <w:color w:val="000000"/>
                              </w:rPr>
                              <w:t>) is a sacred and meditative form of whirling dance practiced by the Mevlevi Sufi dervishes of Turkey. It originated in the thirteenth century through the influence of the great Turkish mystic Jalāl al-Dīn Muhammad Rūmī. It is a form of active physical prayer whose principal aims are to transcend ego-consciousness, renounce worldly desires and attachments, and establish a profound connection with the Supreme Being (God).</w:t>
                            </w:r>
                          </w:p>
                          <w:p w14:paraId="4B15030B" w14:textId="77777777" w:rsidR="00A96FB6" w:rsidRDefault="00A96FB6" w:rsidP="00A96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BAB65" id="_x0000_t202" coordsize="21600,21600" o:spt="202" path="m,l,21600r21600,l21600,xe">
                <v:stroke joinstyle="miter"/>
                <v:path gradientshapeok="t" o:connecttype="rect"/>
              </v:shapetype>
              <v:shape id="Text Box 5" o:spid="_x0000_s1027" type="#_x0000_t202" style="position:absolute;margin-left:16.15pt;margin-top:9.9pt;width:419.25pt;height:14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" fillcolor="#f8f2b8" strokeweight="2.25pt">
                <v:textbox>
                  <w:txbxContent>
                    <w:p w14:paraId="35EF3E0A" w14:textId="77777777" w:rsidR="00A96FB6" w:rsidRDefault="00A96FB6" w:rsidP="00A96FB6">
                      <w:pPr>
                        <w:pStyle w:val="NormalWeb"/>
                        <w:rPr>
                          <w:color w:val="000000"/>
                        </w:rPr>
                      </w:pPr>
                      <w:r>
                        <w:rPr>
                          <w:color w:val="000000"/>
                        </w:rPr>
                        <w:t>Shaykh Safi was a follower of the</w:t>
                      </w:r>
                      <w:r>
                        <w:rPr>
                          <w:rStyle w:val="apple-converted-space"/>
                          <w:color w:val="000000"/>
                        </w:rPr>
                        <w:t> </w:t>
                      </w:r>
                      <w:r>
                        <w:rPr>
                          <w:rStyle w:val="Emphasis"/>
                          <w:color w:val="000000"/>
                        </w:rPr>
                        <w:t>samā</w:t>
                      </w:r>
                      <w:r>
                        <w:rPr>
                          <w:rStyle w:val="Emphasis"/>
                          <w:rFonts w:ascii="Arial" w:hAnsi="Arial" w:cs="Arial"/>
                          <w:color w:val="000000"/>
                        </w:rPr>
                        <w:t>ʿ</w:t>
                      </w:r>
                      <w:r>
                        <w:rPr>
                          <w:rStyle w:val="apple-converted-space"/>
                          <w:color w:val="000000"/>
                        </w:rPr>
                        <w:t> </w:t>
                      </w:r>
                      <w:r>
                        <w:rPr>
                          <w:color w:val="000000"/>
                        </w:rPr>
                        <w:t>tradition. The encyclopedia</w:t>
                      </w:r>
                      <w:r>
                        <w:rPr>
                          <w:rStyle w:val="apple-converted-space"/>
                          <w:color w:val="000000"/>
                        </w:rPr>
                        <w:t> </w:t>
                      </w:r>
                      <w:r>
                        <w:rPr>
                          <w:rStyle w:val="Emphasis"/>
                          <w:color w:val="000000"/>
                        </w:rPr>
                        <w:t>Al-Safā</w:t>
                      </w:r>
                      <w:r>
                        <w:rPr>
                          <w:rStyle w:val="apple-converted-space"/>
                          <w:color w:val="000000"/>
                        </w:rPr>
                        <w:t> </w:t>
                      </w:r>
                      <w:r>
                        <w:rPr>
                          <w:color w:val="000000"/>
                        </w:rPr>
                        <w:t>(“The Lives of the Shaykhs of Safi”), written by Ismā</w:t>
                      </w:r>
                      <w:r>
                        <w:rPr>
                          <w:rFonts w:ascii="Arial" w:hAnsi="Arial" w:cs="Arial"/>
                          <w:color w:val="000000"/>
                        </w:rPr>
                        <w:t>ʿ</w:t>
                      </w:r>
                      <w:r>
                        <w:rPr>
                          <w:color w:val="000000"/>
                        </w:rPr>
                        <w:t>īl ibn Bazzāz, was completed in Shiraz in September 1582.</w:t>
                      </w:r>
                    </w:p>
                    <w:p w14:paraId="362BD848" w14:textId="77777777" w:rsidR="00A96FB6" w:rsidRDefault="00A96FB6" w:rsidP="00A96FB6">
                      <w:pPr>
                        <w:pStyle w:val="NormalWeb"/>
                        <w:rPr>
                          <w:color w:val="000000"/>
                        </w:rPr>
                      </w:pPr>
                      <w:r>
                        <w:rPr>
                          <w:rStyle w:val="Emphasis"/>
                          <w:color w:val="000000"/>
                        </w:rPr>
                        <w:t>Samāʿ</w:t>
                      </w:r>
                      <w:r>
                        <w:rPr>
                          <w:rStyle w:val="apple-converted-space"/>
                          <w:color w:val="000000"/>
                        </w:rPr>
                        <w:t> </w:t>
                      </w:r>
                      <w:r>
                        <w:rPr>
                          <w:color w:val="000000"/>
                        </w:rPr>
                        <w:t>(also written as</w:t>
                      </w:r>
                      <w:r>
                        <w:rPr>
                          <w:rStyle w:val="apple-converted-space"/>
                          <w:color w:val="000000"/>
                        </w:rPr>
                        <w:t> </w:t>
                      </w:r>
                      <w:r>
                        <w:rPr>
                          <w:rStyle w:val="Emphasis"/>
                          <w:color w:val="000000"/>
                        </w:rPr>
                        <w:t>sama</w:t>
                      </w:r>
                      <w:r>
                        <w:rPr>
                          <w:color w:val="000000"/>
                        </w:rPr>
                        <w:t>) is a sacred and meditative form of whirling dance practiced by the Mevlevi Sufi dervishes of Turkey. It originated in the thirteenth century through the influence of the great Turkish mystic Jalāl al-Dīn Muhammad Rūmī. It is a form of active physical prayer whose principal aims are to transcend ego-consciousness, renounce worldly desires and attachments, and establish a profound connection with the Supreme Being (God).</w:t>
                      </w:r>
                    </w:p>
                    <w:p w14:paraId="4B15030B" w14:textId="77777777" w:rsidR="00A96FB6" w:rsidRDefault="00A96FB6" w:rsidP="00A96FB6"/>
                  </w:txbxContent>
                </v:textbox>
                <w10:wrap anchorx="margin"/>
              </v:shape>
            </w:pict>
          </mc:Fallback>
        </mc:AlternateContent>
      </w:r>
    </w:p>
    <w:p w14:paraId="03F1610B" w14:textId="5C08542A"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AE46631" w14:textId="05FB6D2C"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67C7E3B9" w14:textId="0196BD82"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6B7690E6"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5C265581"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4E556043"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013D6AC"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DCF3D3E"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ED267EA"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632EAC78"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34CE9B9F"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C78155F"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10DA449A" w14:textId="77777777" w:rsidR="00A96FB6" w:rsidRDefault="00A96FB6" w:rsidP="00AF49A4">
      <w:pPr>
        <w:outlineLvl w:val="1"/>
        <w:rPr>
          <w:rFonts w:ascii="Times New Roman" w:eastAsia="Times New Roman" w:hAnsi="Times New Roman" w:cs="Times New Roman"/>
          <w:b/>
          <w:bCs/>
          <w:color w:val="000000"/>
          <w:kern w:val="0"/>
          <w:sz w:val="28"/>
          <w:szCs w:val="28"/>
          <w:lang w:eastAsia="en-GB"/>
          <w14:ligatures w14:val="none"/>
        </w:rPr>
      </w:pPr>
    </w:p>
    <w:p w14:paraId="0FF872CB" w14:textId="75D89508" w:rsidR="002051B7" w:rsidRPr="009D1089" w:rsidRDefault="002051B7" w:rsidP="00AF49A4">
      <w:pPr>
        <w:outlineLvl w:val="1"/>
        <w:rPr>
          <w:rFonts w:ascii="Times New Roman" w:eastAsia="Times New Roman" w:hAnsi="Times New Roman" w:cs="Times New Roman"/>
          <w:b/>
          <w:bCs/>
          <w:color w:val="000000"/>
          <w:kern w:val="0"/>
          <w:sz w:val="28"/>
          <w:szCs w:val="28"/>
          <w:lang w:eastAsia="en-GB"/>
          <w14:ligatures w14:val="none"/>
        </w:rPr>
      </w:pPr>
      <w:r w:rsidRPr="009D1089">
        <w:rPr>
          <w:rFonts w:ascii="Times New Roman" w:eastAsia="Times New Roman" w:hAnsi="Times New Roman" w:cs="Times New Roman"/>
          <w:b/>
          <w:bCs/>
          <w:color w:val="000000"/>
          <w:kern w:val="0"/>
          <w:sz w:val="28"/>
          <w:szCs w:val="28"/>
          <w:lang w:eastAsia="en-GB"/>
          <w14:ligatures w14:val="none"/>
        </w:rPr>
        <w:t>2A. Victor Turner’s Liminality and Richard Schechner’s Restored Behavior: A Performative Re-reading of Tantric Dance</w:t>
      </w:r>
    </w:p>
    <w:p w14:paraId="49588780"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9D1089">
        <w:rPr>
          <w:rFonts w:ascii="Times New Roman" w:eastAsia="Times New Roman" w:hAnsi="Times New Roman" w:cs="Times New Roman"/>
          <w:b/>
          <w:bCs/>
          <w:color w:val="000000"/>
          <w:kern w:val="0"/>
          <w:szCs w:val="24"/>
          <w:lang w:eastAsia="en-GB"/>
          <w14:ligatures w14:val="none"/>
        </w:rPr>
        <w:t>Victor Turner, in his theory of ritual process,</w:t>
      </w:r>
      <w:r w:rsidRPr="002051B7">
        <w:rPr>
          <w:rFonts w:ascii="Times New Roman" w:eastAsia="Times New Roman" w:hAnsi="Times New Roman" w:cs="Times New Roman"/>
          <w:color w:val="000000"/>
          <w:kern w:val="0"/>
          <w:szCs w:val="24"/>
          <w:lang w:eastAsia="en-GB"/>
          <w14:ligatures w14:val="none"/>
        </w:rPr>
        <w:t xml:space="preserve"> introduced the concept of </w:t>
      </w:r>
      <w:r w:rsidRPr="002051B7">
        <w:rPr>
          <w:rFonts w:ascii="Times New Roman" w:eastAsia="Times New Roman" w:hAnsi="Times New Roman" w:cs="Times New Roman"/>
          <w:i/>
          <w:iCs/>
          <w:color w:val="000000"/>
          <w:kern w:val="0"/>
          <w:szCs w:val="24"/>
          <w:lang w:eastAsia="en-GB"/>
          <w14:ligatures w14:val="none"/>
        </w:rPr>
        <w:t>liminality</w:t>
      </w:r>
      <w:r w:rsidRPr="002051B7">
        <w:rPr>
          <w:rFonts w:ascii="Times New Roman" w:eastAsia="Times New Roman" w:hAnsi="Times New Roman" w:cs="Times New Roman"/>
          <w:color w:val="000000"/>
          <w:kern w:val="0"/>
          <w:szCs w:val="24"/>
          <w:lang w:eastAsia="en-GB"/>
          <w14:ligatures w14:val="none"/>
        </w:rPr>
        <w:t> to describe the transitional state in which ritual participants temporarily exist outside ordinary social structures. In this liminal condition, individuals become “betwixt and between”—suspended between fixed identities, hierarchies, and institutional roles (Turner 1969).</w:t>
      </w:r>
    </w:p>
    <w:p w14:paraId="6453045A"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When read through this framework, the dance and song practices of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may be understood as producing a liminal state in which conventional dualities collapse:</w:t>
      </w:r>
    </w:p>
    <w:p w14:paraId="5FDADC24" w14:textId="77777777" w:rsidR="002051B7" w:rsidRPr="002051B7" w:rsidRDefault="002051B7" w:rsidP="00AF49A4">
      <w:pPr>
        <w:numPr>
          <w:ilvl w:val="0"/>
          <w:numId w:val="2"/>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pleasure and suffering,</w:t>
      </w:r>
    </w:p>
    <w:p w14:paraId="6A3C3D0C" w14:textId="77777777" w:rsidR="002051B7" w:rsidRPr="002051B7" w:rsidRDefault="002051B7" w:rsidP="00AF49A4">
      <w:pPr>
        <w:numPr>
          <w:ilvl w:val="0"/>
          <w:numId w:val="2"/>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purity and impurity,</w:t>
      </w:r>
    </w:p>
    <w:p w14:paraId="23FEEBC0" w14:textId="77777777" w:rsidR="002051B7" w:rsidRPr="002051B7" w:rsidRDefault="002051B7" w:rsidP="00AF49A4">
      <w:pPr>
        <w:numPr>
          <w:ilvl w:val="0"/>
          <w:numId w:val="2"/>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body and consciousness,</w:t>
      </w:r>
    </w:p>
    <w:p w14:paraId="05A6D7EE" w14:textId="77777777" w:rsidR="002051B7" w:rsidRPr="002051B7" w:rsidRDefault="002051B7" w:rsidP="00AF49A4">
      <w:pPr>
        <w:numPr>
          <w:ilvl w:val="0"/>
          <w:numId w:val="2"/>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desire and liberation.</w:t>
      </w:r>
    </w:p>
    <w:p w14:paraId="0951D885" w14:textId="77777777" w:rsidR="00582F28"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The tantric practitioner enters a threshold condition that is neither ordinary social identity nor transcendent disembodied existence. Rather, awakening unfolds precisely within this unstable embodied interval.</w:t>
      </w:r>
    </w:p>
    <w:p w14:paraId="312DEEDF" w14:textId="77777777" w:rsidR="00582F28" w:rsidRDefault="00582F28" w:rsidP="00AF49A4">
      <w:pPr>
        <w:rPr>
          <w:rFonts w:ascii="Times New Roman" w:eastAsia="Times New Roman" w:hAnsi="Times New Roman" w:cs="Times New Roman"/>
          <w:color w:val="000000"/>
          <w:kern w:val="0"/>
          <w:szCs w:val="24"/>
          <w:lang w:eastAsia="en-GB"/>
          <w14:ligatures w14:val="none"/>
        </w:rPr>
      </w:pPr>
    </w:p>
    <w:p w14:paraId="2FA37CDA" w14:textId="23EC094F" w:rsid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This liminal state closely parallels the </w:t>
      </w:r>
      <w:r w:rsidRPr="002051B7">
        <w:rPr>
          <w:rFonts w:ascii="Times New Roman" w:eastAsia="Times New Roman" w:hAnsi="Times New Roman" w:cs="Times New Roman"/>
          <w:i/>
          <w:iCs/>
          <w:color w:val="000000"/>
          <w:kern w:val="0"/>
          <w:szCs w:val="24"/>
          <w:lang w:eastAsia="en-GB"/>
          <w14:ligatures w14:val="none"/>
        </w:rPr>
        <w:t>Caryāpada</w:t>
      </w:r>
      <w:r w:rsidRPr="002051B7">
        <w:rPr>
          <w:rFonts w:ascii="Times New Roman" w:eastAsia="Times New Roman" w:hAnsi="Times New Roman" w:cs="Times New Roman"/>
          <w:color w:val="000000"/>
          <w:kern w:val="0"/>
          <w:szCs w:val="24"/>
          <w:lang w:eastAsia="en-GB"/>
          <w14:ligatures w14:val="none"/>
        </w:rPr>
        <w:t> notion of </w:t>
      </w:r>
      <w:r w:rsidRPr="002051B7">
        <w:rPr>
          <w:rFonts w:ascii="Times New Roman" w:eastAsia="Times New Roman" w:hAnsi="Times New Roman" w:cs="Times New Roman"/>
          <w:i/>
          <w:iCs/>
          <w:color w:val="000000"/>
          <w:kern w:val="0"/>
          <w:szCs w:val="24"/>
          <w:lang w:eastAsia="en-GB"/>
          <w14:ligatures w14:val="none"/>
        </w:rPr>
        <w:t>sahaja</w:t>
      </w:r>
      <w:r w:rsidRPr="002051B7">
        <w:rPr>
          <w:rFonts w:ascii="Times New Roman" w:eastAsia="Times New Roman" w:hAnsi="Times New Roman" w:cs="Times New Roman"/>
          <w:color w:val="000000"/>
          <w:kern w:val="0"/>
          <w:szCs w:val="24"/>
          <w:lang w:eastAsia="en-GB"/>
          <w14:ligatures w14:val="none"/>
        </w:rPr>
        <w:t>. </w:t>
      </w:r>
      <w:r w:rsidRPr="002051B7">
        <w:rPr>
          <w:rFonts w:ascii="Times New Roman" w:eastAsia="Times New Roman" w:hAnsi="Times New Roman" w:cs="Times New Roman"/>
          <w:i/>
          <w:iCs/>
          <w:color w:val="000000"/>
          <w:kern w:val="0"/>
          <w:szCs w:val="24"/>
          <w:lang w:eastAsia="en-GB"/>
          <w14:ligatures w14:val="none"/>
        </w:rPr>
        <w:t>Sahaja</w:t>
      </w:r>
      <w:r w:rsidRPr="002051B7">
        <w:rPr>
          <w:rFonts w:ascii="Times New Roman" w:eastAsia="Times New Roman" w:hAnsi="Times New Roman" w:cs="Times New Roman"/>
          <w:color w:val="000000"/>
          <w:kern w:val="0"/>
          <w:szCs w:val="24"/>
          <w:lang w:eastAsia="en-GB"/>
          <w14:ligatures w14:val="none"/>
        </w:rPr>
        <w:t> here does not signify a static metaphysical essence but an embodied realization arising through the dissolution of dualistic structures.</w:t>
      </w:r>
    </w:p>
    <w:p w14:paraId="6EAC67F4" w14:textId="77777777" w:rsidR="00582F28" w:rsidRPr="002051B7" w:rsidRDefault="00582F28" w:rsidP="00AF49A4">
      <w:pPr>
        <w:rPr>
          <w:rFonts w:ascii="Times New Roman" w:eastAsia="Times New Roman" w:hAnsi="Times New Roman" w:cs="Times New Roman"/>
          <w:color w:val="000000"/>
          <w:kern w:val="0"/>
          <w:szCs w:val="24"/>
          <w:lang w:eastAsia="en-GB"/>
          <w14:ligatures w14:val="none"/>
        </w:rPr>
      </w:pPr>
    </w:p>
    <w:p w14:paraId="2DF98400" w14:textId="77777777" w:rsid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However, a crucial distinction separates Turner’s liminality from tantric rituality. In Turner’s model, liminality typically functions as a temporary transitional phase after which participants are reintegrated into society. In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by contrast, liminality itself becomes the central spiritual condition. The threshold is not merely transitional; it is transformative.</w:t>
      </w:r>
    </w:p>
    <w:p w14:paraId="5CF96A98" w14:textId="77777777" w:rsidR="00582F28" w:rsidRPr="002051B7" w:rsidRDefault="00582F28" w:rsidP="00AF49A4">
      <w:pPr>
        <w:rPr>
          <w:rFonts w:ascii="Times New Roman" w:eastAsia="Times New Roman" w:hAnsi="Times New Roman" w:cs="Times New Roman"/>
          <w:color w:val="000000"/>
          <w:kern w:val="0"/>
          <w:szCs w:val="24"/>
          <w:lang w:eastAsia="en-GB"/>
          <w14:ligatures w14:val="none"/>
        </w:rPr>
      </w:pPr>
    </w:p>
    <w:p w14:paraId="5849AE71" w14:textId="77777777" w:rsid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 xml:space="preserve">This discussion may be further deepened through </w:t>
      </w:r>
      <w:r w:rsidRPr="009D1089">
        <w:rPr>
          <w:rFonts w:ascii="Times New Roman" w:eastAsia="Times New Roman" w:hAnsi="Times New Roman" w:cs="Times New Roman"/>
          <w:b/>
          <w:bCs/>
          <w:color w:val="000000"/>
          <w:kern w:val="0"/>
          <w:szCs w:val="24"/>
          <w:lang w:eastAsia="en-GB"/>
          <w14:ligatures w14:val="none"/>
        </w:rPr>
        <w:t>Richard Schechner’s concept of </w:t>
      </w:r>
      <w:r w:rsidRPr="009D1089">
        <w:rPr>
          <w:rFonts w:ascii="Times New Roman" w:eastAsia="Times New Roman" w:hAnsi="Times New Roman" w:cs="Times New Roman"/>
          <w:b/>
          <w:bCs/>
          <w:i/>
          <w:iCs/>
          <w:color w:val="000000"/>
          <w:kern w:val="0"/>
          <w:szCs w:val="24"/>
          <w:lang w:eastAsia="en-GB"/>
          <w14:ligatures w14:val="none"/>
        </w:rPr>
        <w:t>restored behavior</w:t>
      </w:r>
      <w:r w:rsidRPr="002051B7">
        <w:rPr>
          <w:rFonts w:ascii="Times New Roman" w:eastAsia="Times New Roman" w:hAnsi="Times New Roman" w:cs="Times New Roman"/>
          <w:color w:val="000000"/>
          <w:kern w:val="0"/>
          <w:szCs w:val="24"/>
          <w:lang w:eastAsia="en-GB"/>
          <w14:ligatures w14:val="none"/>
        </w:rPr>
        <w:t>. Schechner defines performance as “twice-behaved behavior”—repeated, rehearsed, reconstructed actions that can be detached from their original context and reenacted (Schechner 1985).</w:t>
      </w:r>
    </w:p>
    <w:p w14:paraId="7D91BEDD" w14:textId="77777777" w:rsidR="00582F28" w:rsidRPr="002051B7" w:rsidRDefault="00582F28" w:rsidP="00AF49A4">
      <w:pPr>
        <w:rPr>
          <w:rFonts w:ascii="Times New Roman" w:eastAsia="Times New Roman" w:hAnsi="Times New Roman" w:cs="Times New Roman"/>
          <w:color w:val="000000"/>
          <w:kern w:val="0"/>
          <w:szCs w:val="24"/>
          <w:lang w:eastAsia="en-GB"/>
          <w14:ligatures w14:val="none"/>
        </w:rPr>
      </w:pPr>
    </w:p>
    <w:p w14:paraId="1DB618F8"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Tantric dance clearly exhibits this repetitive structure:</w:t>
      </w:r>
    </w:p>
    <w:p w14:paraId="6DE8957E" w14:textId="77777777" w:rsidR="002051B7" w:rsidRPr="002051B7" w:rsidRDefault="002051B7" w:rsidP="00AF49A4">
      <w:pPr>
        <w:numPr>
          <w:ilvl w:val="0"/>
          <w:numId w:val="3"/>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mudrās are repeated,</w:t>
      </w:r>
    </w:p>
    <w:p w14:paraId="0EBBF3D8" w14:textId="77777777" w:rsidR="002051B7" w:rsidRPr="002051B7" w:rsidRDefault="002051B7" w:rsidP="00AF49A4">
      <w:pPr>
        <w:numPr>
          <w:ilvl w:val="0"/>
          <w:numId w:val="3"/>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mantras are recited cyclically,</w:t>
      </w:r>
    </w:p>
    <w:p w14:paraId="5B865CB1" w14:textId="77777777" w:rsidR="002051B7" w:rsidRPr="002051B7" w:rsidRDefault="002051B7" w:rsidP="00AF49A4">
      <w:pPr>
        <w:numPr>
          <w:ilvl w:val="0"/>
          <w:numId w:val="3"/>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bodily gestures are ritualized,</w:t>
      </w:r>
    </w:p>
    <w:p w14:paraId="4C9EC71F" w14:textId="77777777" w:rsidR="002051B7" w:rsidRPr="002051B7" w:rsidRDefault="002051B7" w:rsidP="00AF49A4">
      <w:pPr>
        <w:numPr>
          <w:ilvl w:val="0"/>
          <w:numId w:val="3"/>
        </w:num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divine visualizations are reenacted.</w:t>
      </w:r>
    </w:p>
    <w:p w14:paraId="0249BB6B" w14:textId="77777777"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Yet the </w:t>
      </w:r>
      <w:r w:rsidRPr="002051B7">
        <w:rPr>
          <w:rFonts w:ascii="Times New Roman" w:eastAsia="Times New Roman" w:hAnsi="Times New Roman" w:cs="Times New Roman"/>
          <w:i/>
          <w:iCs/>
          <w:color w:val="000000"/>
          <w:kern w:val="0"/>
          <w:szCs w:val="24"/>
          <w:lang w:eastAsia="en-GB"/>
          <w14:ligatures w14:val="none"/>
        </w:rPr>
        <w:t>Hevajratantra</w:t>
      </w:r>
      <w:r w:rsidRPr="002051B7">
        <w:rPr>
          <w:rFonts w:ascii="Times New Roman" w:eastAsia="Times New Roman" w:hAnsi="Times New Roman" w:cs="Times New Roman"/>
          <w:color w:val="000000"/>
          <w:kern w:val="0"/>
          <w:szCs w:val="24"/>
          <w:lang w:eastAsia="en-GB"/>
          <w14:ligatures w14:val="none"/>
        </w:rPr>
        <w:t> departs fundamentally from theatrical repetition. In Schechner’s framework, restored behavior often functions within social or performative systems. In tantric ritual, however, repetition becomes an ontological technology of transformation.</w:t>
      </w:r>
    </w:p>
    <w:p w14:paraId="7FBA156A" w14:textId="77777777" w:rsidR="009D1089" w:rsidRDefault="009D1089" w:rsidP="00AF49A4">
      <w:pPr>
        <w:rPr>
          <w:rFonts w:ascii="Times New Roman" w:eastAsia="Times New Roman" w:hAnsi="Times New Roman" w:cs="Times New Roman"/>
          <w:color w:val="000000"/>
          <w:kern w:val="0"/>
          <w:szCs w:val="24"/>
          <w:lang w:eastAsia="en-GB"/>
          <w14:ligatures w14:val="none"/>
        </w:rPr>
      </w:pPr>
    </w:p>
    <w:p w14:paraId="61A7B277" w14:textId="05894F76"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lastRenderedPageBreak/>
        <w:t>The practitioner does not merely “perform” enlightenment symbolically. Through repeated embodied practice, consciousness itself is gradually reconfigured.</w:t>
      </w:r>
    </w:p>
    <w:p w14:paraId="139FB0F0" w14:textId="77777777" w:rsidR="009D1089" w:rsidRDefault="009D1089" w:rsidP="00AF49A4">
      <w:pPr>
        <w:rPr>
          <w:rFonts w:ascii="Times New Roman" w:eastAsia="Times New Roman" w:hAnsi="Times New Roman" w:cs="Times New Roman"/>
          <w:color w:val="000000"/>
          <w:kern w:val="0"/>
          <w:szCs w:val="24"/>
          <w:lang w:eastAsia="en-GB"/>
          <w14:ligatures w14:val="none"/>
        </w:rPr>
      </w:pPr>
    </w:p>
    <w:p w14:paraId="79765AB8" w14:textId="20D48283" w:rsidR="002051B7" w:rsidRPr="002051B7" w:rsidRDefault="002051B7" w:rsidP="00AF49A4">
      <w:pPr>
        <w:rPr>
          <w:rFonts w:ascii="Times New Roman" w:eastAsia="Times New Roman" w:hAnsi="Times New Roman" w:cs="Times New Roman"/>
          <w:color w:val="000000"/>
          <w:kern w:val="0"/>
          <w:szCs w:val="24"/>
          <w:lang w:eastAsia="en-GB"/>
          <w14:ligatures w14:val="none"/>
        </w:rPr>
      </w:pPr>
      <w:r w:rsidRPr="002051B7">
        <w:rPr>
          <w:rFonts w:ascii="Times New Roman" w:eastAsia="Times New Roman" w:hAnsi="Times New Roman" w:cs="Times New Roman"/>
          <w:color w:val="000000"/>
          <w:kern w:val="0"/>
          <w:szCs w:val="24"/>
          <w:lang w:eastAsia="en-GB"/>
          <w14:ligatures w14:val="none"/>
        </w:rPr>
        <w:t>In this sense, tantric dance is neither purely ritual nor purely performance. It constitutes what may be termed </w:t>
      </w:r>
      <w:r w:rsidRPr="002051B7">
        <w:rPr>
          <w:rFonts w:ascii="Times New Roman" w:eastAsia="Times New Roman" w:hAnsi="Times New Roman" w:cs="Times New Roman"/>
          <w:i/>
          <w:iCs/>
          <w:color w:val="000000"/>
          <w:kern w:val="0"/>
          <w:szCs w:val="24"/>
          <w:lang w:eastAsia="en-GB"/>
          <w14:ligatures w14:val="none"/>
        </w:rPr>
        <w:t>restored embodiment</w:t>
      </w:r>
      <w:r w:rsidRPr="002051B7">
        <w:rPr>
          <w:rFonts w:ascii="Times New Roman" w:eastAsia="Times New Roman" w:hAnsi="Times New Roman" w:cs="Times New Roman"/>
          <w:color w:val="000000"/>
          <w:kern w:val="0"/>
          <w:szCs w:val="24"/>
          <w:lang w:eastAsia="en-GB"/>
          <w14:ligatures w14:val="none"/>
        </w:rPr>
        <w:t>—a ritualized somatic discipline in which repetitive bodily action generates transformed modes of being.</w:t>
      </w:r>
    </w:p>
    <w:p w14:paraId="396BBBC7" w14:textId="750F931D" w:rsidR="00A96FB6" w:rsidRDefault="00AD79C7" w:rsidP="00AF49A4">
      <w:pPr>
        <w:rPr>
          <w:rFonts w:ascii="Times New Roman" w:eastAsia="Times New Roman" w:hAnsi="Times New Roman" w:cs="Times New Roman"/>
          <w:color w:val="000000"/>
          <w:kern w:val="0"/>
          <w:szCs w:val="24"/>
          <w:lang w:eastAsia="en-GB"/>
          <w14:ligatures w14:val="none"/>
        </w:rPr>
      </w:pPr>
      <w:r>
        <w:rPr>
          <w:rFonts w:ascii="Times New Roman" w:eastAsia="Times New Roman" w:hAnsi="Times New Roman" w:cs="Times New Roman"/>
          <w:color w:val="000000"/>
          <w:kern w:val="0"/>
          <w:szCs w:val="24"/>
          <w:lang w:eastAsia="en-GB"/>
          <w14:ligatures w14:val="none"/>
        </w:rPr>
        <w:t xml:space="preserve"> </w:t>
      </w:r>
      <w:r w:rsidR="002051B7" w:rsidRPr="002051B7">
        <w:rPr>
          <w:rFonts w:ascii="Times New Roman" w:eastAsia="Times New Roman" w:hAnsi="Times New Roman" w:cs="Times New Roman"/>
          <w:color w:val="000000"/>
          <w:kern w:val="0"/>
          <w:szCs w:val="24"/>
          <w:lang w:eastAsia="en-GB"/>
          <w14:ligatures w14:val="none"/>
        </w:rPr>
        <w:t>, the </w:t>
      </w:r>
      <w:r w:rsidR="002051B7" w:rsidRPr="002051B7">
        <w:rPr>
          <w:rFonts w:ascii="Times New Roman" w:eastAsia="Times New Roman" w:hAnsi="Times New Roman" w:cs="Times New Roman"/>
          <w:i/>
          <w:iCs/>
          <w:color w:val="000000"/>
          <w:kern w:val="0"/>
          <w:szCs w:val="24"/>
          <w:lang w:eastAsia="en-GB"/>
          <w14:ligatures w14:val="none"/>
        </w:rPr>
        <w:t>Hevajratantra</w:t>
      </w:r>
      <w:r w:rsidR="002051B7" w:rsidRPr="002051B7">
        <w:rPr>
          <w:rFonts w:ascii="Times New Roman" w:eastAsia="Times New Roman" w:hAnsi="Times New Roman" w:cs="Times New Roman"/>
          <w:color w:val="000000"/>
          <w:kern w:val="0"/>
          <w:szCs w:val="24"/>
          <w:lang w:eastAsia="en-GB"/>
          <w14:ligatures w14:val="none"/>
        </w:rPr>
        <w:t> cannot be adequately understood through modern categories of dance performance alone. It represents a complex convergence of liminal embodiment, ritual repetition, contemplative movement, and transformative somatic praxis.</w:t>
      </w:r>
    </w:p>
    <w:p w14:paraId="1DE86055" w14:textId="77777777" w:rsidR="000B3326" w:rsidRDefault="000B3326" w:rsidP="00AF49A4">
      <w:pPr>
        <w:rPr>
          <w:rFonts w:ascii="Times New Roman" w:eastAsia="Times New Roman" w:hAnsi="Times New Roman" w:cs="Times New Roman"/>
          <w:color w:val="000000"/>
          <w:kern w:val="0"/>
          <w:szCs w:val="24"/>
          <w:lang w:eastAsia="en-GB"/>
          <w14:ligatures w14:val="none"/>
        </w:rPr>
      </w:pPr>
    </w:p>
    <w:p w14:paraId="730E6C7E" w14:textId="77777777" w:rsidR="000B3326" w:rsidRDefault="000B3326" w:rsidP="00AF49A4">
      <w:pPr>
        <w:outlineLvl w:val="1"/>
        <w:rPr>
          <w:rFonts w:ascii="Times New Roman" w:eastAsia="Times New Roman" w:hAnsi="Times New Roman" w:cs="Times New Roman"/>
          <w:b/>
          <w:bCs/>
          <w:i/>
          <w:iCs/>
          <w:color w:val="000000"/>
          <w:kern w:val="0"/>
          <w:szCs w:val="24"/>
          <w:lang w:eastAsia="en-GB"/>
          <w14:ligatures w14:val="none"/>
        </w:rPr>
      </w:pPr>
      <w:r w:rsidRPr="009D1089">
        <w:rPr>
          <w:rFonts w:ascii="Times New Roman" w:eastAsia="Times New Roman" w:hAnsi="Times New Roman" w:cs="Times New Roman"/>
          <w:b/>
          <w:bCs/>
          <w:color w:val="000000"/>
          <w:kern w:val="0"/>
          <w:szCs w:val="24"/>
          <w:lang w:eastAsia="en-GB"/>
          <w14:ligatures w14:val="none"/>
        </w:rPr>
        <w:t>Comparative Framework: Turner, Schechner, Bell, Csordas, and the </w:t>
      </w:r>
      <w:r w:rsidRPr="009D1089">
        <w:rPr>
          <w:rFonts w:ascii="Times New Roman" w:eastAsia="Times New Roman" w:hAnsi="Times New Roman" w:cs="Times New Roman"/>
          <w:b/>
          <w:bCs/>
          <w:i/>
          <w:iCs/>
          <w:color w:val="000000"/>
          <w:kern w:val="0"/>
          <w:szCs w:val="24"/>
          <w:lang w:eastAsia="en-GB"/>
          <w14:ligatures w14:val="none"/>
        </w:rPr>
        <w:t>Hevajratantra</w:t>
      </w:r>
    </w:p>
    <w:p w14:paraId="51BD64CD" w14:textId="77777777" w:rsidR="009D1089" w:rsidRPr="009D1089" w:rsidRDefault="009D1089" w:rsidP="00AF49A4">
      <w:pPr>
        <w:outlineLvl w:val="1"/>
        <w:rPr>
          <w:rFonts w:ascii="Times New Roman" w:eastAsia="Times New Roman" w:hAnsi="Times New Roman" w:cs="Times New Roman"/>
          <w:b/>
          <w:bCs/>
          <w:color w:val="000000"/>
          <w:kern w:val="0"/>
          <w:szCs w:val="24"/>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6"/>
        <w:gridCol w:w="2228"/>
        <w:gridCol w:w="982"/>
        <w:gridCol w:w="1154"/>
        <w:gridCol w:w="1943"/>
        <w:gridCol w:w="1663"/>
      </w:tblGrid>
      <w:tr w:rsidR="000B3326" w:rsidRPr="000B3326" w14:paraId="5E27CC8C" w14:textId="77777777" w:rsidTr="007011A4">
        <w:trPr>
          <w:tblHeader/>
          <w:tblCellSpacing w:w="15" w:type="dxa"/>
        </w:trPr>
        <w:tc>
          <w:tcPr>
            <w:tcW w:w="0" w:type="auto"/>
            <w:shd w:val="clear" w:color="auto" w:fill="D9F2D0" w:themeFill="accent6" w:themeFillTint="33"/>
            <w:vAlign w:val="center"/>
            <w:hideMark/>
          </w:tcPr>
          <w:p w14:paraId="0B65198F"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Theorist</w:t>
            </w:r>
          </w:p>
        </w:tc>
        <w:tc>
          <w:tcPr>
            <w:tcW w:w="0" w:type="auto"/>
            <w:shd w:val="clear" w:color="auto" w:fill="D9F2D0" w:themeFill="accent6" w:themeFillTint="33"/>
            <w:vAlign w:val="center"/>
            <w:hideMark/>
          </w:tcPr>
          <w:p w14:paraId="4092391F"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Central Concept</w:t>
            </w:r>
          </w:p>
        </w:tc>
        <w:tc>
          <w:tcPr>
            <w:tcW w:w="0" w:type="auto"/>
            <w:shd w:val="clear" w:color="auto" w:fill="D9F2D0" w:themeFill="accent6" w:themeFillTint="33"/>
            <w:vAlign w:val="center"/>
            <w:hideMark/>
          </w:tcPr>
          <w:p w14:paraId="44A6409D"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View of the Body</w:t>
            </w:r>
          </w:p>
        </w:tc>
        <w:tc>
          <w:tcPr>
            <w:tcW w:w="0" w:type="auto"/>
            <w:shd w:val="clear" w:color="auto" w:fill="D9F2D0" w:themeFill="accent6" w:themeFillTint="33"/>
            <w:vAlign w:val="center"/>
            <w:hideMark/>
          </w:tcPr>
          <w:p w14:paraId="3909A585"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Understanding of Ritual / Performance</w:t>
            </w:r>
          </w:p>
        </w:tc>
        <w:tc>
          <w:tcPr>
            <w:tcW w:w="0" w:type="auto"/>
            <w:shd w:val="clear" w:color="auto" w:fill="D9F2D0" w:themeFill="accent6" w:themeFillTint="33"/>
            <w:vAlign w:val="center"/>
            <w:hideMark/>
          </w:tcPr>
          <w:p w14:paraId="421FBB07"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Possible Bridge with the </w:t>
            </w:r>
            <w:r w:rsidRPr="000B3326">
              <w:rPr>
                <w:rFonts w:ascii="Times New Roman" w:eastAsia="Times New Roman" w:hAnsi="Times New Roman" w:cs="Times New Roman"/>
                <w:b/>
                <w:bCs/>
                <w:i/>
                <w:iCs/>
                <w:color w:val="000000"/>
                <w:kern w:val="0"/>
                <w:szCs w:val="24"/>
                <w:lang w:eastAsia="en-GB"/>
                <w14:ligatures w14:val="none"/>
              </w:rPr>
              <w:t>Hevajratantra</w:t>
            </w:r>
          </w:p>
        </w:tc>
        <w:tc>
          <w:tcPr>
            <w:tcW w:w="0" w:type="auto"/>
            <w:shd w:val="clear" w:color="auto" w:fill="D9F2D0" w:themeFill="accent6" w:themeFillTint="33"/>
            <w:vAlign w:val="center"/>
            <w:hideMark/>
          </w:tcPr>
          <w:p w14:paraId="5656E1F8" w14:textId="77777777" w:rsidR="000B3326" w:rsidRPr="000B3326" w:rsidRDefault="000B3326" w:rsidP="00AF49A4">
            <w:pPr>
              <w:jc w:val="center"/>
              <w:rPr>
                <w:rFonts w:ascii="Times New Roman" w:eastAsia="Times New Roman" w:hAnsi="Times New Roman" w:cs="Times New Roman"/>
                <w:b/>
                <w:bCs/>
                <w:color w:val="000000"/>
                <w:kern w:val="0"/>
                <w:szCs w:val="24"/>
                <w:lang w:eastAsia="en-GB"/>
                <w14:ligatures w14:val="none"/>
              </w:rPr>
            </w:pPr>
            <w:r w:rsidRPr="000B3326">
              <w:rPr>
                <w:rFonts w:ascii="Times New Roman" w:eastAsia="Times New Roman" w:hAnsi="Times New Roman" w:cs="Times New Roman"/>
                <w:b/>
                <w:bCs/>
                <w:color w:val="000000"/>
                <w:kern w:val="0"/>
                <w:szCs w:val="24"/>
                <w:lang w:eastAsia="en-GB"/>
                <w14:ligatures w14:val="none"/>
              </w:rPr>
              <w:t>Limitation / Difference</w:t>
            </w:r>
          </w:p>
        </w:tc>
      </w:tr>
      <w:tr w:rsidR="000B3326" w:rsidRPr="000B3326" w14:paraId="7A500F0E" w14:textId="77777777">
        <w:trPr>
          <w:tblCellSpacing w:w="15" w:type="dxa"/>
        </w:trPr>
        <w:tc>
          <w:tcPr>
            <w:tcW w:w="0" w:type="auto"/>
            <w:vAlign w:val="center"/>
            <w:hideMark/>
          </w:tcPr>
          <w:p w14:paraId="37DEEE7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Victor Turner</w:t>
            </w:r>
          </w:p>
        </w:tc>
        <w:tc>
          <w:tcPr>
            <w:tcW w:w="0" w:type="auto"/>
            <w:vAlign w:val="center"/>
            <w:hideMark/>
          </w:tcPr>
          <w:p w14:paraId="7E6E9893"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Liminality</w:t>
            </w:r>
            <w:r w:rsidRPr="000B3326">
              <w:rPr>
                <w:rFonts w:ascii="Times New Roman" w:eastAsia="Times New Roman" w:hAnsi="Times New Roman" w:cs="Times New Roman"/>
                <w:color w:val="000000"/>
                <w:kern w:val="0"/>
                <w:szCs w:val="24"/>
                <w:lang w:eastAsia="en-GB"/>
                <w14:ligatures w14:val="none"/>
              </w:rPr>
              <w:t>, </w:t>
            </w:r>
            <w:r w:rsidRPr="000B3326">
              <w:rPr>
                <w:rFonts w:ascii="Times New Roman" w:eastAsia="Times New Roman" w:hAnsi="Times New Roman" w:cs="Times New Roman"/>
                <w:i/>
                <w:iCs/>
                <w:color w:val="000000"/>
                <w:kern w:val="0"/>
                <w:szCs w:val="24"/>
                <w:lang w:eastAsia="en-GB"/>
                <w14:ligatures w14:val="none"/>
              </w:rPr>
              <w:t>Communitas</w:t>
            </w:r>
            <w:r w:rsidRPr="000B3326">
              <w:rPr>
                <w:rFonts w:ascii="Times New Roman" w:eastAsia="Times New Roman" w:hAnsi="Times New Roman" w:cs="Times New Roman"/>
                <w:color w:val="000000"/>
                <w:kern w:val="0"/>
                <w:szCs w:val="24"/>
                <w:lang w:eastAsia="en-GB"/>
                <w14:ligatures w14:val="none"/>
              </w:rPr>
              <w:t>, Ritual Process</w:t>
            </w:r>
          </w:p>
        </w:tc>
        <w:tc>
          <w:tcPr>
            <w:tcW w:w="0" w:type="auto"/>
            <w:vAlign w:val="center"/>
            <w:hideMark/>
          </w:tcPr>
          <w:p w14:paraId="73E047B2"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body temporarily exits stable social identity and enters an in-between condition</w:t>
            </w:r>
          </w:p>
        </w:tc>
        <w:tc>
          <w:tcPr>
            <w:tcW w:w="0" w:type="auto"/>
            <w:vAlign w:val="center"/>
            <w:hideMark/>
          </w:tcPr>
          <w:p w14:paraId="7E2B6116"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Ritual constitutes a liminal phase of social transformation</w:t>
            </w:r>
          </w:p>
        </w:tc>
        <w:tc>
          <w:tcPr>
            <w:tcW w:w="0" w:type="auto"/>
            <w:vAlign w:val="center"/>
            <w:hideMark/>
          </w:tcPr>
          <w:p w14:paraId="613878B5"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Through dance and song, the tantric practitioner transcends dualities such as pleasure/suffering, purity/impurity, body/consciousness, entering a liminal state akin to </w:t>
            </w:r>
            <w:r w:rsidRPr="000B3326">
              <w:rPr>
                <w:rFonts w:ascii="Times New Roman" w:eastAsia="Times New Roman" w:hAnsi="Times New Roman" w:cs="Times New Roman"/>
                <w:i/>
                <w:iCs/>
                <w:color w:val="000000"/>
                <w:kern w:val="0"/>
                <w:szCs w:val="24"/>
                <w:lang w:eastAsia="en-GB"/>
                <w14:ligatures w14:val="none"/>
              </w:rPr>
              <w:t>sahaja</w:t>
            </w:r>
          </w:p>
        </w:tc>
        <w:tc>
          <w:tcPr>
            <w:tcW w:w="0" w:type="auto"/>
            <w:vAlign w:val="center"/>
            <w:hideMark/>
          </w:tcPr>
          <w:p w14:paraId="4E7BB15D"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Turner’s liminality ultimately returns participants to social order; in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liminality itself becomes the site of awakening</w:t>
            </w:r>
          </w:p>
        </w:tc>
      </w:tr>
      <w:tr w:rsidR="000B3326" w:rsidRPr="000B3326" w14:paraId="3EA199C7" w14:textId="77777777">
        <w:trPr>
          <w:tblCellSpacing w:w="15" w:type="dxa"/>
        </w:trPr>
        <w:tc>
          <w:tcPr>
            <w:tcW w:w="0" w:type="auto"/>
            <w:vAlign w:val="center"/>
            <w:hideMark/>
          </w:tcPr>
          <w:p w14:paraId="6C5E76D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Richard Schechner</w:t>
            </w:r>
          </w:p>
        </w:tc>
        <w:tc>
          <w:tcPr>
            <w:tcW w:w="0" w:type="auto"/>
            <w:vAlign w:val="center"/>
            <w:hideMark/>
          </w:tcPr>
          <w:p w14:paraId="7F02A99D"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Restored Behavior</w:t>
            </w:r>
            <w:r w:rsidRPr="000B3326">
              <w:rPr>
                <w:rFonts w:ascii="Times New Roman" w:eastAsia="Times New Roman" w:hAnsi="Times New Roman" w:cs="Times New Roman"/>
                <w:color w:val="000000"/>
                <w:kern w:val="0"/>
                <w:szCs w:val="24"/>
                <w:lang w:eastAsia="en-GB"/>
                <w14:ligatures w14:val="none"/>
              </w:rPr>
              <w:t>, “Twice-behaved behavior”</w:t>
            </w:r>
          </w:p>
        </w:tc>
        <w:tc>
          <w:tcPr>
            <w:tcW w:w="0" w:type="auto"/>
            <w:vAlign w:val="center"/>
            <w:hideMark/>
          </w:tcPr>
          <w:p w14:paraId="2431E832"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body carries rehearsed and repeatable patterns of action</w:t>
            </w:r>
          </w:p>
        </w:tc>
        <w:tc>
          <w:tcPr>
            <w:tcW w:w="0" w:type="auto"/>
            <w:vAlign w:val="center"/>
            <w:hideMark/>
          </w:tcPr>
          <w:p w14:paraId="29A578E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Performance consists of reconstructed and reenacted behavior</w:t>
            </w:r>
          </w:p>
        </w:tc>
        <w:tc>
          <w:tcPr>
            <w:tcW w:w="0" w:type="auto"/>
            <w:vAlign w:val="center"/>
            <w:hideMark/>
          </w:tcPr>
          <w:p w14:paraId="4C1B9B8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Mantras, mudrās, gestures, and deity visualizations function as repeated ritual behaviors leading toward ontological transformation</w:t>
            </w:r>
          </w:p>
        </w:tc>
        <w:tc>
          <w:tcPr>
            <w:tcW w:w="0" w:type="auto"/>
            <w:vAlign w:val="center"/>
            <w:hideMark/>
          </w:tcPr>
          <w:p w14:paraId="5A2AFFB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Schechner’s model remains primarily performative and theatrical; tantric repetition seeks liberation rather than representation</w:t>
            </w:r>
          </w:p>
        </w:tc>
      </w:tr>
      <w:tr w:rsidR="000B3326" w:rsidRPr="000B3326" w14:paraId="74A3B151" w14:textId="77777777">
        <w:trPr>
          <w:tblCellSpacing w:w="15" w:type="dxa"/>
        </w:trPr>
        <w:tc>
          <w:tcPr>
            <w:tcW w:w="0" w:type="auto"/>
            <w:vAlign w:val="center"/>
            <w:hideMark/>
          </w:tcPr>
          <w:p w14:paraId="58952FE6"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Catherine Bell</w:t>
            </w:r>
          </w:p>
        </w:tc>
        <w:tc>
          <w:tcPr>
            <w:tcW w:w="0" w:type="auto"/>
            <w:vAlign w:val="center"/>
            <w:hideMark/>
          </w:tcPr>
          <w:p w14:paraId="6E5B64C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Ritualization</w:t>
            </w:r>
          </w:p>
        </w:tc>
        <w:tc>
          <w:tcPr>
            <w:tcW w:w="0" w:type="auto"/>
            <w:vAlign w:val="center"/>
            <w:hideMark/>
          </w:tcPr>
          <w:p w14:paraId="4335A7B7"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 xml:space="preserve">The body is strategically ritualized; certain actions become differentiated from </w:t>
            </w:r>
            <w:r w:rsidRPr="000B3326">
              <w:rPr>
                <w:rFonts w:ascii="Times New Roman" w:eastAsia="Times New Roman" w:hAnsi="Times New Roman" w:cs="Times New Roman"/>
                <w:color w:val="000000"/>
                <w:kern w:val="0"/>
                <w:szCs w:val="24"/>
                <w:lang w:eastAsia="en-GB"/>
                <w14:ligatures w14:val="none"/>
              </w:rPr>
              <w:lastRenderedPageBreak/>
              <w:t>ordinary activity</w:t>
            </w:r>
          </w:p>
        </w:tc>
        <w:tc>
          <w:tcPr>
            <w:tcW w:w="0" w:type="auto"/>
            <w:vAlign w:val="center"/>
            <w:hideMark/>
          </w:tcPr>
          <w:p w14:paraId="7C7002B3"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lastRenderedPageBreak/>
              <w:t>Ritual is not a fixed category but a process of strategic differentiation</w:t>
            </w:r>
          </w:p>
        </w:tc>
        <w:tc>
          <w:tcPr>
            <w:tcW w:w="0" w:type="auto"/>
            <w:vAlign w:val="center"/>
            <w:hideMark/>
          </w:tcPr>
          <w:p w14:paraId="70248A7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elevates dance and song from entertainment into contemplative praxis (</w:t>
            </w:r>
            <w:r w:rsidRPr="000B3326">
              <w:rPr>
                <w:rFonts w:ascii="Times New Roman" w:eastAsia="Times New Roman" w:hAnsi="Times New Roman" w:cs="Times New Roman"/>
                <w:i/>
                <w:iCs/>
                <w:color w:val="000000"/>
                <w:kern w:val="0"/>
                <w:szCs w:val="24"/>
                <w:lang w:eastAsia="en-GB"/>
                <w14:ligatures w14:val="none"/>
              </w:rPr>
              <w:t>bhāvanā</w:t>
            </w:r>
            <w:r w:rsidRPr="000B3326">
              <w:rPr>
                <w:rFonts w:ascii="Times New Roman" w:eastAsia="Times New Roman" w:hAnsi="Times New Roman" w:cs="Times New Roman"/>
                <w:color w:val="000000"/>
                <w:kern w:val="0"/>
                <w:szCs w:val="24"/>
                <w:lang w:eastAsia="en-GB"/>
                <w14:ligatures w14:val="none"/>
              </w:rPr>
              <w:t>)</w:t>
            </w:r>
          </w:p>
        </w:tc>
        <w:tc>
          <w:tcPr>
            <w:tcW w:w="0" w:type="auto"/>
            <w:vAlign w:val="center"/>
            <w:hideMark/>
          </w:tcPr>
          <w:p w14:paraId="44E086E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Bell’s framework focuses on ritual strategy and power, not mystical bliss or liberation</w:t>
            </w:r>
          </w:p>
        </w:tc>
      </w:tr>
      <w:tr w:rsidR="000B3326" w:rsidRPr="000B3326" w14:paraId="60E671D1" w14:textId="77777777">
        <w:trPr>
          <w:tblCellSpacing w:w="15" w:type="dxa"/>
        </w:trPr>
        <w:tc>
          <w:tcPr>
            <w:tcW w:w="0" w:type="auto"/>
            <w:vAlign w:val="center"/>
            <w:hideMark/>
          </w:tcPr>
          <w:p w14:paraId="46D65E1F"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Thomas J. Csordas</w:t>
            </w:r>
          </w:p>
        </w:tc>
        <w:tc>
          <w:tcPr>
            <w:tcW w:w="0" w:type="auto"/>
            <w:vAlign w:val="center"/>
            <w:hideMark/>
          </w:tcPr>
          <w:p w14:paraId="28E5A21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Embodiment; existential ground of culture</w:t>
            </w:r>
          </w:p>
        </w:tc>
        <w:tc>
          <w:tcPr>
            <w:tcW w:w="0" w:type="auto"/>
            <w:vAlign w:val="center"/>
            <w:hideMark/>
          </w:tcPr>
          <w:p w14:paraId="0C88AD4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body is the lived ground of experience prior to mind-body dualism</w:t>
            </w:r>
          </w:p>
        </w:tc>
        <w:tc>
          <w:tcPr>
            <w:tcW w:w="0" w:type="auto"/>
            <w:vAlign w:val="center"/>
            <w:hideMark/>
          </w:tcPr>
          <w:p w14:paraId="726CD4A9"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Ritual generates embodied modes of perception and lived experience</w:t>
            </w:r>
          </w:p>
        </w:tc>
        <w:tc>
          <w:tcPr>
            <w:tcW w:w="0" w:type="auto"/>
            <w:vAlign w:val="center"/>
            <w:hideMark/>
          </w:tcPr>
          <w:p w14:paraId="54273CFF"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In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the body itself becomes the primary site of awakening and realization</w:t>
            </w:r>
          </w:p>
        </w:tc>
        <w:tc>
          <w:tcPr>
            <w:tcW w:w="0" w:type="auto"/>
            <w:vAlign w:val="center"/>
            <w:hideMark/>
          </w:tcPr>
          <w:p w14:paraId="005BE82B"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Csordas remains largely phenomenological; tantric metaphysics of emptiness (</w:t>
            </w:r>
            <w:r w:rsidRPr="000B3326">
              <w:rPr>
                <w:rFonts w:ascii="Times New Roman" w:eastAsia="Times New Roman" w:hAnsi="Times New Roman" w:cs="Times New Roman"/>
                <w:i/>
                <w:iCs/>
                <w:color w:val="000000"/>
                <w:kern w:val="0"/>
                <w:szCs w:val="24"/>
                <w:lang w:eastAsia="en-GB"/>
                <w14:ligatures w14:val="none"/>
              </w:rPr>
              <w:t>śūnyatā</w:t>
            </w:r>
            <w:r w:rsidRPr="000B3326">
              <w:rPr>
                <w:rFonts w:ascii="Times New Roman" w:eastAsia="Times New Roman" w:hAnsi="Times New Roman" w:cs="Times New Roman"/>
                <w:color w:val="000000"/>
                <w:kern w:val="0"/>
                <w:szCs w:val="24"/>
                <w:lang w:eastAsia="en-GB"/>
                <w14:ligatures w14:val="none"/>
              </w:rPr>
              <w:t>) and </w:t>
            </w:r>
            <w:r w:rsidRPr="000B3326">
              <w:rPr>
                <w:rFonts w:ascii="Times New Roman" w:eastAsia="Times New Roman" w:hAnsi="Times New Roman" w:cs="Times New Roman"/>
                <w:i/>
                <w:iCs/>
                <w:color w:val="000000"/>
                <w:kern w:val="0"/>
                <w:szCs w:val="24"/>
                <w:lang w:eastAsia="en-GB"/>
                <w14:ligatures w14:val="none"/>
              </w:rPr>
              <w:t>mahāsukha</w:t>
            </w:r>
            <w:r w:rsidRPr="000B3326">
              <w:rPr>
                <w:rFonts w:ascii="Times New Roman" w:eastAsia="Times New Roman" w:hAnsi="Times New Roman" w:cs="Times New Roman"/>
                <w:color w:val="000000"/>
                <w:kern w:val="0"/>
                <w:szCs w:val="24"/>
                <w:lang w:eastAsia="en-GB"/>
                <w14:ligatures w14:val="none"/>
              </w:rPr>
              <w:t> exceed his framework</w:t>
            </w:r>
          </w:p>
        </w:tc>
      </w:tr>
      <w:tr w:rsidR="000B3326" w:rsidRPr="000B3326" w14:paraId="3B8F93A6" w14:textId="77777777">
        <w:trPr>
          <w:tblCellSpacing w:w="15" w:type="dxa"/>
        </w:trPr>
        <w:tc>
          <w:tcPr>
            <w:tcW w:w="0" w:type="auto"/>
            <w:vAlign w:val="center"/>
            <w:hideMark/>
          </w:tcPr>
          <w:p w14:paraId="03A9419D"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Hevajratantra</w:t>
            </w:r>
          </w:p>
        </w:tc>
        <w:tc>
          <w:tcPr>
            <w:tcW w:w="0" w:type="auto"/>
            <w:vAlign w:val="center"/>
            <w:hideMark/>
          </w:tcPr>
          <w:p w14:paraId="0F46C801"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Performed Liberation; </w:t>
            </w:r>
            <w:r w:rsidRPr="000B3326">
              <w:rPr>
                <w:rFonts w:ascii="Times New Roman" w:eastAsia="Times New Roman" w:hAnsi="Times New Roman" w:cs="Times New Roman"/>
                <w:i/>
                <w:iCs/>
                <w:color w:val="000000"/>
                <w:kern w:val="0"/>
                <w:szCs w:val="24"/>
                <w:lang w:eastAsia="en-GB"/>
                <w14:ligatures w14:val="none"/>
              </w:rPr>
              <w:t>Mahāsukha</w:t>
            </w:r>
            <w:r w:rsidRPr="000B3326">
              <w:rPr>
                <w:rFonts w:ascii="Times New Roman" w:eastAsia="Times New Roman" w:hAnsi="Times New Roman" w:cs="Times New Roman"/>
                <w:color w:val="000000"/>
                <w:kern w:val="0"/>
                <w:szCs w:val="24"/>
                <w:lang w:eastAsia="en-GB"/>
                <w14:ligatures w14:val="none"/>
              </w:rPr>
              <w:t>; </w:t>
            </w:r>
            <w:r w:rsidRPr="000B3326">
              <w:rPr>
                <w:rFonts w:ascii="Times New Roman" w:eastAsia="Times New Roman" w:hAnsi="Times New Roman" w:cs="Times New Roman"/>
                <w:i/>
                <w:iCs/>
                <w:color w:val="000000"/>
                <w:kern w:val="0"/>
                <w:szCs w:val="24"/>
                <w:lang w:eastAsia="en-GB"/>
                <w14:ligatures w14:val="none"/>
              </w:rPr>
              <w:t>Sahaja</w:t>
            </w:r>
          </w:p>
        </w:tc>
        <w:tc>
          <w:tcPr>
            <w:tcW w:w="0" w:type="auto"/>
            <w:vAlign w:val="center"/>
            <w:hideMark/>
          </w:tcPr>
          <w:p w14:paraId="29738909"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body is not an obstacle but the direct field of awakening</w:t>
            </w:r>
          </w:p>
        </w:tc>
        <w:tc>
          <w:tcPr>
            <w:tcW w:w="0" w:type="auto"/>
            <w:vAlign w:val="center"/>
            <w:hideMark/>
          </w:tcPr>
          <w:p w14:paraId="505CDA5D"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Dance and song are themselves contemplative practice (</w:t>
            </w:r>
            <w:r w:rsidRPr="000B3326">
              <w:rPr>
                <w:rFonts w:ascii="Times New Roman" w:eastAsia="Times New Roman" w:hAnsi="Times New Roman" w:cs="Times New Roman"/>
                <w:i/>
                <w:iCs/>
                <w:color w:val="000000"/>
                <w:kern w:val="0"/>
                <w:szCs w:val="24"/>
                <w:lang w:eastAsia="en-GB"/>
                <w14:ligatures w14:val="none"/>
              </w:rPr>
              <w:t>bhāvanā</w:t>
            </w:r>
            <w:r w:rsidRPr="000B3326">
              <w:rPr>
                <w:rFonts w:ascii="Times New Roman" w:eastAsia="Times New Roman" w:hAnsi="Times New Roman" w:cs="Times New Roman"/>
                <w:color w:val="000000"/>
                <w:kern w:val="0"/>
                <w:szCs w:val="24"/>
                <w:lang w:eastAsia="en-GB"/>
                <w14:ligatures w14:val="none"/>
              </w:rPr>
              <w:t>)</w:t>
            </w:r>
          </w:p>
        </w:tc>
        <w:tc>
          <w:tcPr>
            <w:tcW w:w="0" w:type="auto"/>
            <w:vAlign w:val="center"/>
            <w:hideMark/>
          </w:tcPr>
          <w:p w14:paraId="1531EF30"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Ritualization, liminality, repetition, and embodiment converge into transformative somatic praxis</w:t>
            </w:r>
          </w:p>
        </w:tc>
        <w:tc>
          <w:tcPr>
            <w:tcW w:w="0" w:type="auto"/>
            <w:vAlign w:val="center"/>
            <w:hideMark/>
          </w:tcPr>
          <w:p w14:paraId="37B1D04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Empirical verification remains difficult due to the esoteric and initiatory nature of tantric ritual</w:t>
            </w:r>
          </w:p>
        </w:tc>
      </w:tr>
    </w:tbl>
    <w:p w14:paraId="0E202412" w14:textId="4F716E15" w:rsidR="000B3326" w:rsidRPr="000B3326" w:rsidRDefault="000B3326" w:rsidP="00AF49A4">
      <w:pPr>
        <w:rPr>
          <w:rFonts w:ascii="Times New Roman" w:eastAsia="Times New Roman" w:hAnsi="Times New Roman" w:cs="Times New Roman"/>
          <w:kern w:val="0"/>
          <w:szCs w:val="24"/>
          <w:lang w:eastAsia="en-GB"/>
          <w14:ligatures w14:val="none"/>
        </w:rPr>
      </w:pPr>
    </w:p>
    <w:p w14:paraId="02147513" w14:textId="77777777" w:rsidR="000B3326" w:rsidRPr="009D1089" w:rsidRDefault="000B3326" w:rsidP="00AF49A4">
      <w:pPr>
        <w:outlineLvl w:val="1"/>
        <w:rPr>
          <w:rFonts w:ascii="Times New Roman" w:eastAsia="Times New Roman" w:hAnsi="Times New Roman" w:cs="Times New Roman"/>
          <w:b/>
          <w:bCs/>
          <w:color w:val="000000"/>
          <w:kern w:val="0"/>
          <w:sz w:val="28"/>
          <w:szCs w:val="28"/>
          <w:lang w:eastAsia="en-GB"/>
          <w14:ligatures w14:val="none"/>
        </w:rPr>
      </w:pPr>
      <w:r w:rsidRPr="009D1089">
        <w:rPr>
          <w:rFonts w:ascii="Times New Roman" w:eastAsia="Times New Roman" w:hAnsi="Times New Roman" w:cs="Times New Roman"/>
          <w:b/>
          <w:bCs/>
          <w:color w:val="000000"/>
          <w:kern w:val="0"/>
          <w:sz w:val="28"/>
          <w:szCs w:val="28"/>
          <w:lang w:eastAsia="en-GB"/>
          <w14:ligatures w14:val="none"/>
        </w:rPr>
        <w:t>3. Difference from Abhinavagupta: Detachment versus Participation</w:t>
      </w:r>
    </w:p>
    <w:p w14:paraId="65DC05A9" w14:textId="77777777"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 profound distinction exists between Abhinavagupta’s conception of </w:t>
      </w:r>
      <w:r w:rsidRPr="000B3326">
        <w:rPr>
          <w:rFonts w:ascii="Times New Roman" w:eastAsia="Times New Roman" w:hAnsi="Times New Roman" w:cs="Times New Roman"/>
          <w:i/>
          <w:iCs/>
          <w:color w:val="000000"/>
          <w:kern w:val="0"/>
          <w:szCs w:val="24"/>
          <w:lang w:eastAsia="en-GB"/>
          <w14:ligatures w14:val="none"/>
        </w:rPr>
        <w:t>alaukika rasa</w:t>
      </w:r>
      <w:r w:rsidRPr="000B3326">
        <w:rPr>
          <w:rFonts w:ascii="Times New Roman" w:eastAsia="Times New Roman" w:hAnsi="Times New Roman" w:cs="Times New Roman"/>
          <w:color w:val="000000"/>
          <w:kern w:val="0"/>
          <w:szCs w:val="24"/>
          <w:lang w:eastAsia="en-GB"/>
          <w14:ligatures w14:val="none"/>
        </w:rPr>
        <w:t> (“transcendent aesthetic relish”) and the </w:t>
      </w:r>
      <w:r w:rsidRPr="000B3326">
        <w:rPr>
          <w:rFonts w:ascii="Times New Roman" w:eastAsia="Times New Roman" w:hAnsi="Times New Roman" w:cs="Times New Roman"/>
          <w:i/>
          <w:iCs/>
          <w:color w:val="000000"/>
          <w:kern w:val="0"/>
          <w:szCs w:val="24"/>
          <w:lang w:eastAsia="en-GB"/>
          <w14:ligatures w14:val="none"/>
        </w:rPr>
        <w:t>mahāsukha</w:t>
      </w:r>
      <w:r w:rsidRPr="000B3326">
        <w:rPr>
          <w:rFonts w:ascii="Times New Roman" w:eastAsia="Times New Roman" w:hAnsi="Times New Roman" w:cs="Times New Roman"/>
          <w:color w:val="000000"/>
          <w:kern w:val="0"/>
          <w:szCs w:val="24"/>
          <w:lang w:eastAsia="en-GB"/>
          <w14:ligatures w14:val="none"/>
        </w:rPr>
        <w:t> (“great bliss”) articulated in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For Abhinavagupta, transcendence emerges through aesthetic detachment: the spectator relinquishes awareness of personal identity, temporal location, and bodily limitation in order to merge with the universalized emotional state represented in dramatic performance.</w:t>
      </w:r>
    </w:p>
    <w:p w14:paraId="0EC7153D" w14:textId="77777777" w:rsidR="009D1089" w:rsidRDefault="009D1089" w:rsidP="007011A4">
      <w:pPr>
        <w:rPr>
          <w:rFonts w:ascii="Times New Roman" w:eastAsia="Times New Roman" w:hAnsi="Times New Roman" w:cs="Times New Roman"/>
          <w:color w:val="000000"/>
          <w:kern w:val="0"/>
          <w:szCs w:val="24"/>
          <w:lang w:eastAsia="en-GB"/>
          <w14:ligatures w14:val="none"/>
        </w:rPr>
      </w:pPr>
    </w:p>
    <w:p w14:paraId="44D2013C" w14:textId="69D0EAA8"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Abhinavagupta writes:</w:t>
      </w:r>
    </w:p>
    <w:p w14:paraId="2E1C3876" w14:textId="77777777" w:rsidR="00291C7E" w:rsidRDefault="00291C7E" w:rsidP="007011A4">
      <w:pPr>
        <w:pStyle w:val="NormalWeb"/>
        <w:spacing w:before="0" w:beforeAutospacing="0" w:after="0" w:afterAutospacing="0"/>
        <w:rPr>
          <w:color w:val="000000"/>
        </w:rPr>
      </w:pPr>
      <w:r>
        <w:rPr>
          <w:color w:val="000000"/>
        </w:rPr>
        <w:t xml:space="preserve">- </w:t>
      </w:r>
      <w:r>
        <w:rPr>
          <w:rFonts w:cs="Mangal"/>
          <w:color w:val="000000"/>
          <w:cs/>
          <w:lang w:bidi="hi-IN"/>
        </w:rPr>
        <w:t>सामाजिकस्य हि रसास्वादने कालदेशादिवैमुख्येन तन्मयीभाव एव मुख्यः ॥</w:t>
      </w:r>
    </w:p>
    <w:p w14:paraId="009E79E9" w14:textId="627EE040"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Transliteration:</w:t>
      </w:r>
    </w:p>
    <w:p w14:paraId="5AB79751" w14:textId="77777777"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Sāmājikasya hi rasāsvādane kāladeśādivaimukhyena tanmayībhāva eva mukhyaḥ.</w:t>
      </w:r>
    </w:p>
    <w:p w14:paraId="5034D6B1" w14:textId="77777777"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Translation:</w:t>
      </w:r>
    </w:p>
    <w:p w14:paraId="161D288F" w14:textId="77777777"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“In the spectator’s experience of rasa, the essential element is identification with the aesthetic state through detachment from time, place, and ordinary circumstances.”</w:t>
      </w:r>
    </w:p>
    <w:p w14:paraId="6B148D55" w14:textId="77777777" w:rsidR="00291C7E" w:rsidRDefault="00291C7E" w:rsidP="007011A4">
      <w:pPr>
        <w:rPr>
          <w:rFonts w:ascii="Times New Roman" w:eastAsia="Times New Roman" w:hAnsi="Times New Roman" w:cs="Times New Roman"/>
          <w:color w:val="000000"/>
          <w:kern w:val="0"/>
          <w:szCs w:val="24"/>
          <w:lang w:eastAsia="en-GB"/>
          <w14:ligatures w14:val="none"/>
        </w:rPr>
      </w:pPr>
    </w:p>
    <w:p w14:paraId="77A9AAC5" w14:textId="386DE5C5"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however, proposes the inverse movement. Rather than transcending the body, the practitioner enters more deeply into embodied immediacy. Dance and song are not distractions from contemplative realization; they are themselves forms of contemplative realization. Sensory experience is not rejected but ritualized.</w:t>
      </w:r>
    </w:p>
    <w:p w14:paraId="33E7C117" w14:textId="77777777" w:rsidR="00291C7E" w:rsidRDefault="00291C7E" w:rsidP="007011A4">
      <w:pPr>
        <w:rPr>
          <w:rFonts w:ascii="Times New Roman" w:eastAsia="Times New Roman" w:hAnsi="Times New Roman" w:cs="Times New Roman"/>
          <w:color w:val="000000"/>
          <w:kern w:val="0"/>
          <w:szCs w:val="24"/>
          <w:lang w:eastAsia="en-GB"/>
          <w14:ligatures w14:val="none"/>
        </w:rPr>
      </w:pPr>
    </w:p>
    <w:p w14:paraId="430949F1" w14:textId="0E7EDCC2"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lastRenderedPageBreak/>
        <w:t>Thus, whereas Abhinavagupta’s aesthetic transcendence depends upon contemplative distance, the tantric experience of </w:t>
      </w:r>
      <w:r w:rsidRPr="000B3326">
        <w:rPr>
          <w:rFonts w:ascii="Times New Roman" w:eastAsia="Times New Roman" w:hAnsi="Times New Roman" w:cs="Times New Roman"/>
          <w:i/>
          <w:iCs/>
          <w:color w:val="000000"/>
          <w:kern w:val="0"/>
          <w:szCs w:val="24"/>
          <w:lang w:eastAsia="en-GB"/>
          <w14:ligatures w14:val="none"/>
        </w:rPr>
        <w:t>mahāsukha</w:t>
      </w:r>
      <w:r w:rsidRPr="000B3326">
        <w:rPr>
          <w:rFonts w:ascii="Times New Roman" w:eastAsia="Times New Roman" w:hAnsi="Times New Roman" w:cs="Times New Roman"/>
          <w:color w:val="000000"/>
          <w:kern w:val="0"/>
          <w:szCs w:val="24"/>
          <w:lang w:eastAsia="en-GB"/>
          <w14:ligatures w14:val="none"/>
        </w:rPr>
        <w:t> arises through intensified participation.</w:t>
      </w:r>
    </w:p>
    <w:p w14:paraId="350F5661" w14:textId="185018EF" w:rsidR="000B3326" w:rsidRPr="000B3326" w:rsidRDefault="000B3326" w:rsidP="007011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Yet scholarly caution is necessary here.</w:t>
      </w:r>
      <w:r w:rsidR="007011A4">
        <w:rPr>
          <w:rFonts w:ascii="Times New Roman" w:eastAsia="Times New Roman" w:hAnsi="Times New Roman" w:cs="Times New Roman"/>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It would be reductive to treat Abhinavagupta merely as a commentator on dramaturgy. He was also one of the foremost philosophers of Kashmiri Śaiva Tantra</w:t>
      </w:r>
      <w:r w:rsidR="007011A4">
        <w:rPr>
          <w:rStyle w:val="EndnoteReference"/>
          <w:rFonts w:ascii="Times New Roman" w:eastAsia="Times New Roman" w:hAnsi="Times New Roman" w:cs="Times New Roman"/>
          <w:color w:val="000000"/>
          <w:kern w:val="0"/>
          <w:szCs w:val="24"/>
          <w:lang w:eastAsia="en-GB"/>
          <w14:ligatures w14:val="none"/>
        </w:rPr>
        <w:endnoteReference w:id="2"/>
      </w:r>
      <w:r w:rsidRPr="000B3326">
        <w:rPr>
          <w:rFonts w:ascii="Times New Roman" w:eastAsia="Times New Roman" w:hAnsi="Times New Roman" w:cs="Times New Roman"/>
          <w:color w:val="000000"/>
          <w:kern w:val="0"/>
          <w:szCs w:val="24"/>
          <w:lang w:eastAsia="en-GB"/>
          <w14:ligatures w14:val="none"/>
        </w:rPr>
        <w:t>. In works such as the </w:t>
      </w:r>
      <w:r w:rsidRPr="000B3326">
        <w:rPr>
          <w:rFonts w:ascii="Times New Roman" w:eastAsia="Times New Roman" w:hAnsi="Times New Roman" w:cs="Times New Roman"/>
          <w:i/>
          <w:iCs/>
          <w:color w:val="000000"/>
          <w:kern w:val="0"/>
          <w:szCs w:val="24"/>
          <w:lang w:eastAsia="en-GB"/>
          <w14:ligatures w14:val="none"/>
        </w:rPr>
        <w:t>Tantrāloka</w:t>
      </w:r>
      <w:r w:rsidRPr="000B3326">
        <w:rPr>
          <w:rFonts w:ascii="Times New Roman" w:eastAsia="Times New Roman" w:hAnsi="Times New Roman" w:cs="Times New Roman"/>
          <w:color w:val="000000"/>
          <w:kern w:val="0"/>
          <w:szCs w:val="24"/>
          <w:lang w:eastAsia="en-GB"/>
          <w14:ligatures w14:val="none"/>
        </w:rPr>
        <w:t>, Abhinavagupta explicitly affirms embodied ritual praxis, Kaula initiation, and transformative ecstatic experience.</w:t>
      </w:r>
    </w:p>
    <w:p w14:paraId="2871A05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Indeed, many structural parallels emerge between Buddhist and Śaiva tantric traditions:</w:t>
      </w:r>
    </w:p>
    <w:p w14:paraId="2A208F3B" w14:textId="77777777" w:rsidR="000B3326" w:rsidRPr="000B3326" w:rsidRDefault="000B3326" w:rsidP="00AF49A4">
      <w:pPr>
        <w:numPr>
          <w:ilvl w:val="0"/>
          <w:numId w:val="4"/>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mahāsukha</w:t>
      </w:r>
      <w:r w:rsidRPr="000B3326">
        <w:rPr>
          <w:rFonts w:ascii="Times New Roman" w:eastAsia="Times New Roman" w:hAnsi="Times New Roman" w:cs="Times New Roman"/>
          <w:color w:val="000000"/>
          <w:kern w:val="0"/>
          <w:szCs w:val="24"/>
          <w:lang w:eastAsia="en-GB"/>
          <w14:ligatures w14:val="none"/>
        </w:rPr>
        <w:t> and </w:t>
      </w:r>
      <w:r w:rsidRPr="000B3326">
        <w:rPr>
          <w:rFonts w:ascii="Times New Roman" w:eastAsia="Times New Roman" w:hAnsi="Times New Roman" w:cs="Times New Roman"/>
          <w:i/>
          <w:iCs/>
          <w:color w:val="000000"/>
          <w:kern w:val="0"/>
          <w:szCs w:val="24"/>
          <w:lang w:eastAsia="en-GB"/>
          <w14:ligatures w14:val="none"/>
        </w:rPr>
        <w:t>paramānanda</w:t>
      </w:r>
      <w:r w:rsidRPr="000B3326">
        <w:rPr>
          <w:rFonts w:ascii="Times New Roman" w:eastAsia="Times New Roman" w:hAnsi="Times New Roman" w:cs="Times New Roman"/>
          <w:color w:val="000000"/>
          <w:kern w:val="0"/>
          <w:szCs w:val="24"/>
          <w:lang w:eastAsia="en-GB"/>
          <w14:ligatures w14:val="none"/>
        </w:rPr>
        <w:t>,</w:t>
      </w:r>
    </w:p>
    <w:p w14:paraId="3E23A6AC" w14:textId="77777777" w:rsidR="000B3326" w:rsidRPr="000B3326" w:rsidRDefault="000B3326" w:rsidP="00AF49A4">
      <w:pPr>
        <w:numPr>
          <w:ilvl w:val="0"/>
          <w:numId w:val="4"/>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ritual embodiment,</w:t>
      </w:r>
    </w:p>
    <w:p w14:paraId="78BDDEF6" w14:textId="77777777" w:rsidR="000B3326" w:rsidRPr="000B3326" w:rsidRDefault="000B3326" w:rsidP="00AF49A4">
      <w:pPr>
        <w:numPr>
          <w:ilvl w:val="0"/>
          <w:numId w:val="4"/>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transgressive sacrality,</w:t>
      </w:r>
    </w:p>
    <w:p w14:paraId="271F7256" w14:textId="77777777" w:rsidR="000B3326" w:rsidRPr="000B3326" w:rsidRDefault="000B3326" w:rsidP="00AF49A4">
      <w:pPr>
        <w:numPr>
          <w:ilvl w:val="0"/>
          <w:numId w:val="4"/>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contemplative eroticism,</w:t>
      </w:r>
    </w:p>
    <w:p w14:paraId="7C722787" w14:textId="77777777" w:rsidR="000B3326" w:rsidRPr="000B3326" w:rsidRDefault="000B3326" w:rsidP="00AF49A4">
      <w:pPr>
        <w:numPr>
          <w:ilvl w:val="0"/>
          <w:numId w:val="4"/>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and the dissolution of ego-consciousness.</w:t>
      </w:r>
    </w:p>
    <w:p w14:paraId="31BBF75E" w14:textId="77777777" w:rsidR="00291C7E" w:rsidRDefault="00291C7E" w:rsidP="00AF49A4">
      <w:pPr>
        <w:rPr>
          <w:rFonts w:ascii="Times New Roman" w:eastAsia="Times New Roman" w:hAnsi="Times New Roman" w:cs="Times New Roman"/>
          <w:color w:val="000000"/>
          <w:kern w:val="0"/>
          <w:szCs w:val="24"/>
          <w:lang w:eastAsia="en-GB"/>
          <w14:ligatures w14:val="none"/>
        </w:rPr>
      </w:pPr>
    </w:p>
    <w:p w14:paraId="42636186" w14:textId="5CE75530"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Modern scholars such as David Peter Lawrence have therefore argued that Buddhist and Śaiva tantric aesthetics may be better understood not as entirely separate systems, but as complementary branches within a wider South Asian tantric epistemology (Lawrence 2013).</w:t>
      </w:r>
    </w:p>
    <w:p w14:paraId="79A138B4" w14:textId="77777777" w:rsid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Consequently, the opposition between Abhinavagupta and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should not be overstated. The distinction is real, but it may represent a divergence within a broader tantric discourse rather than a complete philosophical rupture.</w:t>
      </w:r>
    </w:p>
    <w:p w14:paraId="4ED0D946" w14:textId="77777777" w:rsidR="00C64BA4" w:rsidRDefault="00C64BA4" w:rsidP="00AF49A4">
      <w:pPr>
        <w:rPr>
          <w:rFonts w:ascii="Times New Roman" w:eastAsia="Times New Roman" w:hAnsi="Times New Roman" w:cs="Times New Roman"/>
          <w:color w:val="000000"/>
          <w:kern w:val="0"/>
          <w:szCs w:val="24"/>
          <w:lang w:eastAsia="en-GB"/>
          <w14:ligatures w14:val="none"/>
        </w:rPr>
      </w:pPr>
    </w:p>
    <w:p w14:paraId="1DE4ED78" w14:textId="77777777" w:rsidR="00C64BA4" w:rsidRPr="00C31BBE" w:rsidRDefault="00C64BA4" w:rsidP="00C64BA4">
      <w:pPr>
        <w:outlineLvl w:val="1"/>
        <w:rPr>
          <w:rFonts w:ascii="Times New Roman" w:eastAsia="Times New Roman" w:hAnsi="Times New Roman" w:cs="Times New Roman"/>
          <w:b/>
          <w:bCs/>
          <w:color w:val="000000"/>
          <w:kern w:val="0"/>
          <w:szCs w:val="24"/>
          <w:lang w:eastAsia="en-GB"/>
          <w14:ligatures w14:val="none"/>
        </w:rPr>
      </w:pPr>
      <w:r w:rsidRPr="00C31BBE">
        <w:rPr>
          <w:rFonts w:ascii="Times New Roman" w:eastAsia="Times New Roman" w:hAnsi="Times New Roman" w:cs="Times New Roman"/>
          <w:b/>
          <w:bCs/>
          <w:color w:val="000000"/>
          <w:kern w:val="0"/>
          <w:szCs w:val="24"/>
          <w:lang w:eastAsia="en-GB"/>
          <w14:ligatures w14:val="none"/>
        </w:rPr>
        <w:t>Gender, Yoginītantra, and the Problem of “Performed Liberation”</w:t>
      </w:r>
    </w:p>
    <w:p w14:paraId="7276D45B"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Any discussion of embodiment, ritual movement,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and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in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remains incomplete without sustained engagement with gender. This is particularly important because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belongs to the category of Yoginītantra, a class of late Indian Buddhist tantric texts in which female divinities, yoginīs, ḍākinīs, sexual polarity, and embodied ritual transformation occupy central positions. The concept of “performed liberation” proposed in this essay must therefore be critically examined through the lenses of feminine ritual agency, erotic ambiguity, and gendered embodiment.</w:t>
      </w:r>
    </w:p>
    <w:p w14:paraId="53BD9700"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2B56C314"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Yoginītantras emerged within a broader medieval South Asian tantric environment in which cremation-ground symbolism, transgressive ritual, deity-yoga, and ritualized sexuality became increasingly prominent. Alexis Sanderson has argued that Buddhist Yoginītantras developed in close interaction with Śaiva and Śākta tantric traditions, particularly those associated with yoginī cults, Kaula ritual systems, and transgressive initiatory practices (Sanderson 2009; Sanderson 2015). Within this milieu, the female body was not merely symbolic ornamentation but a site of ritual power, epistemological transformation, and esoteric authority.</w:t>
      </w:r>
    </w:p>
    <w:p w14:paraId="3A869535"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5816DBE8"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itself repeatedly emphasizes the inseparability of wisdom (</w:t>
      </w:r>
      <w:r w:rsidRPr="00C31BBE">
        <w:rPr>
          <w:rFonts w:ascii="Times New Roman" w:eastAsia="Times New Roman" w:hAnsi="Times New Roman" w:cs="Times New Roman"/>
          <w:i/>
          <w:iCs/>
          <w:color w:val="000000"/>
          <w:kern w:val="0"/>
          <w:szCs w:val="24"/>
          <w:lang w:eastAsia="en-GB"/>
          <w14:ligatures w14:val="none"/>
        </w:rPr>
        <w:t>prajñā</w:t>
      </w:r>
      <w:r w:rsidRPr="00C31BBE">
        <w:rPr>
          <w:rFonts w:ascii="Times New Roman" w:eastAsia="Times New Roman" w:hAnsi="Times New Roman" w:cs="Times New Roman"/>
          <w:color w:val="000000"/>
          <w:kern w:val="0"/>
          <w:szCs w:val="24"/>
          <w:lang w:eastAsia="en-GB"/>
          <w14:ligatures w14:val="none"/>
        </w:rPr>
        <w:t>) and method (</w:t>
      </w:r>
      <w:r w:rsidRPr="00C31BBE">
        <w:rPr>
          <w:rFonts w:ascii="Times New Roman" w:eastAsia="Times New Roman" w:hAnsi="Times New Roman" w:cs="Times New Roman"/>
          <w:i/>
          <w:iCs/>
          <w:color w:val="000000"/>
          <w:kern w:val="0"/>
          <w:szCs w:val="24"/>
          <w:lang w:eastAsia="en-GB"/>
          <w14:ligatures w14:val="none"/>
        </w:rPr>
        <w:t>upāya</w:t>
      </w:r>
      <w:r w:rsidRPr="00C31BBE">
        <w:rPr>
          <w:rFonts w:ascii="Times New Roman" w:eastAsia="Times New Roman" w:hAnsi="Times New Roman" w:cs="Times New Roman"/>
          <w:color w:val="000000"/>
          <w:kern w:val="0"/>
          <w:szCs w:val="24"/>
          <w:lang w:eastAsia="en-GB"/>
          <w14:ligatures w14:val="none"/>
        </w:rPr>
        <w:t>), often represented through masculine and feminine polarity. The yoginī and the ḍākinī are not simply attendants to male yogic realization; they function as embodiments of awakened knowledge itself. Miranda Shaw has therefore argued that female tantric practitioners in Buddhist Tantra frequently occupied roles as teachers, initiators, ritual partners, and sources of esoteric insight rather than merely passive ritual objects (Shaw 1994). This observation is crucial for understanding the </w:t>
      </w:r>
      <w:r w:rsidRPr="00C31BBE">
        <w:rPr>
          <w:rFonts w:ascii="Times New Roman" w:eastAsia="Times New Roman" w:hAnsi="Times New Roman" w:cs="Times New Roman"/>
          <w:i/>
          <w:iCs/>
          <w:color w:val="000000"/>
          <w:kern w:val="0"/>
          <w:szCs w:val="24"/>
          <w:lang w:eastAsia="en-GB"/>
          <w14:ligatures w14:val="none"/>
        </w:rPr>
        <w:t>Caryāpaṭala</w:t>
      </w:r>
      <w:r w:rsidRPr="00C31BBE">
        <w:rPr>
          <w:rFonts w:ascii="Times New Roman" w:eastAsia="Times New Roman" w:hAnsi="Times New Roman" w:cs="Times New Roman"/>
          <w:color w:val="000000"/>
          <w:kern w:val="0"/>
          <w:szCs w:val="24"/>
          <w:lang w:eastAsia="en-GB"/>
          <w14:ligatures w14:val="none"/>
        </w:rPr>
        <w:t>. If dance and song function as </w:t>
      </w:r>
      <w:r w:rsidRPr="00C31BBE">
        <w:rPr>
          <w:rFonts w:ascii="Times New Roman" w:eastAsia="Times New Roman" w:hAnsi="Times New Roman" w:cs="Times New Roman"/>
          <w:i/>
          <w:iCs/>
          <w:color w:val="000000"/>
          <w:kern w:val="0"/>
          <w:szCs w:val="24"/>
          <w:lang w:eastAsia="en-GB"/>
          <w14:ligatures w14:val="none"/>
        </w:rPr>
        <w:t>bhāvanā</w:t>
      </w:r>
      <w:r w:rsidRPr="00C31BBE">
        <w:rPr>
          <w:rFonts w:ascii="Times New Roman" w:eastAsia="Times New Roman" w:hAnsi="Times New Roman" w:cs="Times New Roman"/>
          <w:color w:val="000000"/>
          <w:kern w:val="0"/>
          <w:szCs w:val="24"/>
          <w:lang w:eastAsia="en-GB"/>
          <w14:ligatures w14:val="none"/>
        </w:rPr>
        <w:t>, then the question immediately arises: whose body performs liberation?</w:t>
      </w:r>
    </w:p>
    <w:p w14:paraId="7FFF4252"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issue becomes especially important because tantric literature often employs feminine imagery at multiple levels simultaneously:</w:t>
      </w:r>
    </w:p>
    <w:p w14:paraId="7EA04B55" w14:textId="77777777" w:rsidR="00C64BA4" w:rsidRPr="00C31BBE" w:rsidRDefault="00C64BA4" w:rsidP="00C64BA4">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literal,</w:t>
      </w:r>
    </w:p>
    <w:p w14:paraId="6676EC58" w14:textId="77777777" w:rsidR="00C64BA4" w:rsidRPr="00C31BBE" w:rsidRDefault="00C64BA4" w:rsidP="00C64BA4">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symbolic,</w:t>
      </w:r>
    </w:p>
    <w:p w14:paraId="7B55DE88" w14:textId="77777777" w:rsidR="00C64BA4" w:rsidRPr="00C31BBE" w:rsidRDefault="00C64BA4" w:rsidP="00C64BA4">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lastRenderedPageBreak/>
        <w:t>ritual,</w:t>
      </w:r>
    </w:p>
    <w:p w14:paraId="2846FD32" w14:textId="77777777" w:rsidR="00C64BA4" w:rsidRPr="00C31BBE" w:rsidRDefault="00C64BA4" w:rsidP="00C64BA4">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contemplative,</w:t>
      </w:r>
    </w:p>
    <w:p w14:paraId="466C2F52" w14:textId="77777777" w:rsidR="00C64BA4" w:rsidRPr="00C31BBE" w:rsidRDefault="00C64BA4" w:rsidP="00C64BA4">
      <w:pPr>
        <w:numPr>
          <w:ilvl w:val="0"/>
          <w:numId w:val="24"/>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cosmic.</w:t>
      </w:r>
    </w:p>
    <w:p w14:paraId="3F60338E"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yoginī may signify:</w:t>
      </w:r>
    </w:p>
    <w:p w14:paraId="68A6B576" w14:textId="77777777" w:rsidR="00C64BA4" w:rsidRPr="00C31BBE" w:rsidRDefault="00C64BA4" w:rsidP="00C64BA4">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 actual female practitioner,</w:t>
      </w:r>
    </w:p>
    <w:p w14:paraId="5E8C58C4" w14:textId="77777777" w:rsidR="00C64BA4" w:rsidRPr="00C31BBE" w:rsidRDefault="00C64BA4" w:rsidP="00C64BA4">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 ritual consort,</w:t>
      </w:r>
    </w:p>
    <w:p w14:paraId="49363C6E" w14:textId="77777777" w:rsidR="00C64BA4" w:rsidRPr="00C31BBE" w:rsidRDefault="00C64BA4" w:rsidP="00C64BA4">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 embodiment of wisdom,</w:t>
      </w:r>
    </w:p>
    <w:p w14:paraId="40B93103" w14:textId="77777777" w:rsidR="00C64BA4" w:rsidRPr="00C31BBE" w:rsidRDefault="00C64BA4" w:rsidP="00C64BA4">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 deity,</w:t>
      </w:r>
    </w:p>
    <w:p w14:paraId="1B9A0CE5" w14:textId="77777777" w:rsidR="00C64BA4" w:rsidRPr="00C31BBE" w:rsidRDefault="00C64BA4" w:rsidP="00C64BA4">
      <w:pPr>
        <w:numPr>
          <w:ilvl w:val="0"/>
          <w:numId w:val="25"/>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or a mode of consciousness itself.</w:t>
      </w:r>
    </w:p>
    <w:p w14:paraId="7FED67A2"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layered ambiguity complicates any simplistic distinction between metaphor and embodied practice.</w:t>
      </w:r>
    </w:p>
    <w:p w14:paraId="51ADA5C4"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0DBD2A0C"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’s emphasis on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(“great bliss”) further intensifies the gendered dimension of tantric embodiment. In many Yoginītantra traditions,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is not conceived as abstract transcendence detached from bodily experience. Rather, bliss emerges through the transformation of sensory and affective processes. David Gordon White argues that medieval tantric traditions repeatedly employ erotic symbolism, bodily substances, and ritualized transgression in order to destabilize conventional distinctions between sacred and profane (White 2003). Such practices sought not indulgence for its own sake, but the transformation of desire into liberative awareness.</w:t>
      </w:r>
    </w:p>
    <w:p w14:paraId="2D02B9AB"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5C99AE82"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Yet this transformation is inherently unstable. Erotic ritual may function simultaneously as:</w:t>
      </w:r>
    </w:p>
    <w:p w14:paraId="0EC8A5D1" w14:textId="77777777" w:rsidR="00C64BA4" w:rsidRPr="00C31BBE" w:rsidRDefault="00C64BA4" w:rsidP="00C64BA4">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contemplative technology,</w:t>
      </w:r>
    </w:p>
    <w:p w14:paraId="428E0EAE" w14:textId="77777777" w:rsidR="00C64BA4" w:rsidRPr="00C31BBE" w:rsidRDefault="00C64BA4" w:rsidP="00C64BA4">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symbolic enactment,</w:t>
      </w:r>
    </w:p>
    <w:p w14:paraId="5ED5F530" w14:textId="77777777" w:rsidR="00C64BA4" w:rsidRPr="00C31BBE" w:rsidRDefault="00C64BA4" w:rsidP="00C64BA4">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social transgression,</w:t>
      </w:r>
    </w:p>
    <w:p w14:paraId="512C1352" w14:textId="77777777" w:rsidR="00C64BA4" w:rsidRPr="00C31BBE" w:rsidRDefault="00C64BA4" w:rsidP="00C64BA4">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affective intensification,</w:t>
      </w:r>
    </w:p>
    <w:p w14:paraId="22EE054F" w14:textId="77777777" w:rsidR="00C64BA4" w:rsidRPr="00C31BBE" w:rsidRDefault="00C64BA4" w:rsidP="00C64BA4">
      <w:pPr>
        <w:numPr>
          <w:ilvl w:val="0"/>
          <w:numId w:val="26"/>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the potential reproduction of gender hierarchy.</w:t>
      </w:r>
    </w:p>
    <w:p w14:paraId="204E7D58"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Consequently, the language of liberation within Yoginītantra traditions cannot be treated as automatically emancipatory.</w:t>
      </w:r>
    </w:p>
    <w:p w14:paraId="7E2B640B"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61A9FA59"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tension becomes especially visible in relation to ritual movement and dance. If the body itself becomes the field of awakening, then female embodiment acquires epistemological significance. Thomas Csordas’s theory of embodiment remains useful here because it frames the body not merely as an object of representation but as the existential ground of experience (Csordas 1994). Yet the Yoginītantras radicalize this insight further: feminine embodiment is not only experiential but revelatory. The female body becomes a locus through which </w:t>
      </w:r>
      <w:r w:rsidRPr="00C31BBE">
        <w:rPr>
          <w:rFonts w:ascii="Times New Roman" w:eastAsia="Times New Roman" w:hAnsi="Times New Roman" w:cs="Times New Roman"/>
          <w:i/>
          <w:iCs/>
          <w:color w:val="000000"/>
          <w:kern w:val="0"/>
          <w:szCs w:val="24"/>
          <w:lang w:eastAsia="en-GB"/>
          <w14:ligatures w14:val="none"/>
        </w:rPr>
        <w:t>śūnyatā</w:t>
      </w:r>
      <w:r w:rsidRPr="00C31BBE">
        <w:rPr>
          <w:rFonts w:ascii="Times New Roman" w:eastAsia="Times New Roman" w:hAnsi="Times New Roman" w:cs="Times New Roman"/>
          <w:color w:val="000000"/>
          <w:kern w:val="0"/>
          <w:szCs w:val="24"/>
          <w:lang w:eastAsia="en-GB"/>
          <w14:ligatures w14:val="none"/>
        </w:rPr>
        <w:t>, </w:t>
      </w:r>
      <w:r w:rsidRPr="00C31BBE">
        <w:rPr>
          <w:rFonts w:ascii="Times New Roman" w:eastAsia="Times New Roman" w:hAnsi="Times New Roman" w:cs="Times New Roman"/>
          <w:i/>
          <w:iCs/>
          <w:color w:val="000000"/>
          <w:kern w:val="0"/>
          <w:szCs w:val="24"/>
          <w:lang w:eastAsia="en-GB"/>
          <w14:ligatures w14:val="none"/>
        </w:rPr>
        <w:t>mahāsukha</w:t>
      </w:r>
      <w:r w:rsidRPr="00C31BBE">
        <w:rPr>
          <w:rFonts w:ascii="Times New Roman" w:eastAsia="Times New Roman" w:hAnsi="Times New Roman" w:cs="Times New Roman"/>
          <w:color w:val="000000"/>
          <w:kern w:val="0"/>
          <w:szCs w:val="24"/>
          <w:lang w:eastAsia="en-GB"/>
          <w14:ligatures w14:val="none"/>
        </w:rPr>
        <w:t>, and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are ritually encountered.</w:t>
      </w:r>
    </w:p>
    <w:p w14:paraId="50F60804"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ḍākinī occupies a particularly important place within this framework. Across Buddhist tantric literature, the ḍākinī frequently appears as:</w:t>
      </w:r>
    </w:p>
    <w:p w14:paraId="099E5993" w14:textId="77777777" w:rsidR="00C64BA4" w:rsidRPr="00C31BBE" w:rsidRDefault="00C64BA4" w:rsidP="00C64BA4">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initiator,</w:t>
      </w:r>
    </w:p>
    <w:p w14:paraId="1ADF00E5" w14:textId="77777777" w:rsidR="00C64BA4" w:rsidRPr="00C31BBE" w:rsidRDefault="00C64BA4" w:rsidP="00C64BA4">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guide,</w:t>
      </w:r>
    </w:p>
    <w:p w14:paraId="78321646" w14:textId="77777777" w:rsidR="00C64BA4" w:rsidRPr="00C31BBE" w:rsidRDefault="00C64BA4" w:rsidP="00C64BA4">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guardian of esoteric knowledge,</w:t>
      </w:r>
    </w:p>
    <w:p w14:paraId="348D6767" w14:textId="77777777" w:rsidR="00C64BA4" w:rsidRPr="00C31BBE" w:rsidRDefault="00C64BA4" w:rsidP="00C64BA4">
      <w:pPr>
        <w:numPr>
          <w:ilvl w:val="0"/>
          <w:numId w:val="27"/>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destabilizing force.</w:t>
      </w:r>
    </w:p>
    <w:p w14:paraId="2FC4AA85"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26CE6A76"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Christian Wedemeyer notes that tantric texts often deliberately blur the boundaries between visionary encounter, symbolic representation, and ritual enactment (Wedemeyer 2013). The ḍākinī therefore resists stable categorization. She may appear terrifying, erotic, maternal, transgressive, or liberative—often simultaneously. In ritual dance traditions connected to Yoginītantra imagery, this ambiguity becomes embodied. Movement itself becomes a threshold where desire, fear, bliss, and emptiness intersect.</w:t>
      </w:r>
    </w:p>
    <w:p w14:paraId="57D708E8"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6F7D9687"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has profound implications for the concept of “performed liberation.” The term risks implying a universal or gender-neutral subject of liberation unless gender is explicitly theorized. Yet Yoginītantra traditions repeatedly suggest that liberation is mediated through sexual polarity and differentiated embodiment. The body that dances is not an abstract body; it is historically gendered, socially situated, ritually encoded, and erotically marked.</w:t>
      </w:r>
    </w:p>
    <w:p w14:paraId="4004A89D"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question, therefore, is whether “performed liberation” can genuinely be gender-neutral.</w:t>
      </w:r>
    </w:p>
    <w:p w14:paraId="0DC55459"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Several tensions emerge here.</w:t>
      </w:r>
    </w:p>
    <w:p w14:paraId="66418E7B"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7C03EEB4"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First, many tantric texts rhetorically elevate feminine wisdom while simultaneously preserving male-centered ritual structures. Miranda Shaw has challenged older Orientalist scholarship that portrayed women in Tantra merely as ritual instruments, arguing instead for the active agency of female practitioners (Shaw 1994). However, other scholars remain more cautious, noting that textual celebration of feminine power does not necessarily translate into social equality. The symbolic exaltation of the feminine may coexist with patriarchal institutional structures.</w:t>
      </w:r>
    </w:p>
    <w:p w14:paraId="3DE9706B"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3F8A8A78"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Second, ritual transgression itself is gendered differently. Practices involving sexual symbolism, bodily substances, cremation grounds, or anti-caste gestures may destabilize social norms, yet the risks and consequences of transgression are rarely identical for male and female practitioners. Geoffrey Samuel observes that tantric traditions often negotiate tensions between ascetic renunciation and embodied ritual engagement through highly controlled initiatory systems (Samuel 2008). Access to ritual authority therefore remains socially mediated.</w:t>
      </w:r>
    </w:p>
    <w:p w14:paraId="40EEF004"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297A9BCD"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5FB7D2D9"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Third, the category of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complicates gender further. In Siddha and Sahajiyā traditions, </w:t>
      </w:r>
      <w:r w:rsidRPr="00C31BBE">
        <w:rPr>
          <w:rFonts w:ascii="Times New Roman" w:eastAsia="Times New Roman" w:hAnsi="Times New Roman" w:cs="Times New Roman"/>
          <w:i/>
          <w:iCs/>
          <w:color w:val="000000"/>
          <w:kern w:val="0"/>
          <w:szCs w:val="24"/>
          <w:lang w:eastAsia="en-GB"/>
          <w14:ligatures w14:val="none"/>
        </w:rPr>
        <w:t>sahaja</w:t>
      </w:r>
      <w:r w:rsidRPr="00C31BBE">
        <w:rPr>
          <w:rFonts w:ascii="Times New Roman" w:eastAsia="Times New Roman" w:hAnsi="Times New Roman" w:cs="Times New Roman"/>
          <w:color w:val="000000"/>
          <w:kern w:val="0"/>
          <w:szCs w:val="24"/>
          <w:lang w:eastAsia="en-GB"/>
          <w14:ligatures w14:val="none"/>
        </w:rPr>
        <w:t> frequently appears as a state beyond dualistic distinction. Yet the path toward this non-duality is often articulated through erotic polarity, union imagery, and gendered ritual symbolism. The language of transcending gender paradoxically depends upon gendered embodiment.</w:t>
      </w:r>
    </w:p>
    <w:p w14:paraId="2A20C4B2"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4626AFCA"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Within the </w:t>
      </w:r>
      <w:r w:rsidRPr="00C31BBE">
        <w:rPr>
          <w:rFonts w:ascii="Times New Roman" w:eastAsia="Times New Roman" w:hAnsi="Times New Roman" w:cs="Times New Roman"/>
          <w:i/>
          <w:iCs/>
          <w:color w:val="000000"/>
          <w:kern w:val="0"/>
          <w:szCs w:val="24"/>
          <w:lang w:eastAsia="en-GB"/>
          <w14:ligatures w14:val="none"/>
        </w:rPr>
        <w:t>Caryāpada</w:t>
      </w:r>
      <w:r w:rsidRPr="00C31BBE">
        <w:rPr>
          <w:rFonts w:ascii="Times New Roman" w:eastAsia="Times New Roman" w:hAnsi="Times New Roman" w:cs="Times New Roman"/>
          <w:color w:val="000000"/>
          <w:kern w:val="0"/>
          <w:szCs w:val="24"/>
          <w:lang w:eastAsia="en-GB"/>
          <w14:ligatures w14:val="none"/>
        </w:rPr>
        <w:t>, this ambiguity is repeatedly visible. Female figures appear as:</w:t>
      </w:r>
    </w:p>
    <w:p w14:paraId="5532AB07" w14:textId="77777777" w:rsidR="00C64BA4" w:rsidRPr="00C31BBE" w:rsidRDefault="00C64BA4" w:rsidP="00C64BA4">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lovers,</w:t>
      </w:r>
    </w:p>
    <w:p w14:paraId="13D812CC" w14:textId="77777777" w:rsidR="00C64BA4" w:rsidRPr="00C31BBE" w:rsidRDefault="00C64BA4" w:rsidP="00C64BA4">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householders,</w:t>
      </w:r>
    </w:p>
    <w:p w14:paraId="6355DB1F" w14:textId="77777777" w:rsidR="00C64BA4" w:rsidRPr="00C31BBE" w:rsidRDefault="00C64BA4" w:rsidP="00C64BA4">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yogic symbols,</w:t>
      </w:r>
    </w:p>
    <w:p w14:paraId="6FC42B3F" w14:textId="77777777" w:rsidR="00C64BA4" w:rsidRPr="00C31BBE" w:rsidRDefault="00C64BA4" w:rsidP="00C64BA4">
      <w:pPr>
        <w:numPr>
          <w:ilvl w:val="0"/>
          <w:numId w:val="28"/>
        </w:num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and embodiments of hidden wisdom.</w:t>
      </w:r>
    </w:p>
    <w:p w14:paraId="53BBFACF" w14:textId="77777777" w:rsidR="00C64BA4" w:rsidRDefault="00C64BA4" w:rsidP="00C64BA4">
      <w:pPr>
        <w:rPr>
          <w:rFonts w:ascii="Times New Roman" w:eastAsia="Times New Roman" w:hAnsi="Times New Roman" w:cs="Times New Roman"/>
          <w:color w:val="000000"/>
          <w:kern w:val="0"/>
          <w:szCs w:val="24"/>
          <w:lang w:eastAsia="en-GB"/>
          <w14:ligatures w14:val="none"/>
        </w:rPr>
      </w:pPr>
    </w:p>
    <w:p w14:paraId="6D91B8D4" w14:textId="77777777" w:rsidR="00C64BA4"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The songs frequently oscillate between erotic immediacy and contemplative instruction. Dance, bodily union, and sensory pleasure become vehicles of coded esoteric meaning. Ronald Davidson therefore cautions that tantric texts should be read within their social and institutional context rather than romanticized as purely antinomian mysticism (Davidson 2002). The Siddhācāryas operated within complex monastic, royal, and ritual networks that shaped how gender and embodiment were imagined.</w:t>
      </w:r>
    </w:p>
    <w:p w14:paraId="0A6C90DC"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p>
    <w:p w14:paraId="01FDF45C" w14:textId="77777777" w:rsidR="00C64BA4" w:rsidRDefault="00C64BA4" w:rsidP="00C64B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 xml:space="preserve">The concept of “performed liberation” must therefore remain critically self-aware. Liberation enacted through dance and song may indeed challenge rigid distinctions between body and spirit, sacred and profane, or male and female. Yet such ritual enactment does not automatically dissolve power relations. Rather, Yoginītantra traditions reveal liberation itself </w:t>
      </w:r>
      <w:r w:rsidRPr="00C31BBE">
        <w:rPr>
          <w:rFonts w:ascii="Times New Roman" w:eastAsia="Times New Roman" w:hAnsi="Times New Roman" w:cs="Times New Roman"/>
          <w:color w:val="000000"/>
          <w:kern w:val="0"/>
          <w:szCs w:val="24"/>
          <w:lang w:eastAsia="en-GB"/>
          <w14:ligatures w14:val="none"/>
        </w:rPr>
        <w:lastRenderedPageBreak/>
        <w:t>as a contested terrain in which embodiment, desire, authority, and gender remain dynamically entangled.</w:t>
      </w:r>
    </w:p>
    <w:p w14:paraId="069415E3" w14:textId="77777777" w:rsidR="00C64BA4" w:rsidRPr="00C31BBE" w:rsidRDefault="00C64BA4" w:rsidP="00C64BA4">
      <w:pPr>
        <w:rPr>
          <w:rFonts w:ascii="Times New Roman" w:eastAsia="Times New Roman" w:hAnsi="Times New Roman" w:cs="Times New Roman"/>
          <w:color w:val="000000"/>
          <w:kern w:val="0"/>
          <w:szCs w:val="24"/>
          <w:lang w:eastAsia="en-GB"/>
          <w14:ligatures w14:val="none"/>
        </w:rPr>
      </w:pPr>
    </w:p>
    <w:p w14:paraId="6115D6F9" w14:textId="26FBFD17" w:rsidR="00C64BA4" w:rsidRPr="000B3326" w:rsidRDefault="00C64BA4" w:rsidP="00AF49A4">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This complexity ultimately strengthens, rather than weakens, the argument of the present essay. The </w:t>
      </w:r>
      <w:r w:rsidRPr="00C31BBE">
        <w:rPr>
          <w:rFonts w:ascii="Times New Roman" w:eastAsia="Times New Roman" w:hAnsi="Times New Roman" w:cs="Times New Roman"/>
          <w:i/>
          <w:iCs/>
          <w:color w:val="000000"/>
          <w:kern w:val="0"/>
          <w:szCs w:val="24"/>
          <w:lang w:eastAsia="en-GB"/>
          <w14:ligatures w14:val="none"/>
        </w:rPr>
        <w:t>Hevajratantra</w:t>
      </w:r>
      <w:r w:rsidRPr="00C31BBE">
        <w:rPr>
          <w:rFonts w:ascii="Times New Roman" w:eastAsia="Times New Roman" w:hAnsi="Times New Roman" w:cs="Times New Roman"/>
          <w:color w:val="000000"/>
          <w:kern w:val="0"/>
          <w:szCs w:val="24"/>
          <w:lang w:eastAsia="en-GB"/>
          <w14:ligatures w14:val="none"/>
        </w:rPr>
        <w:t> does not present liberation as abstract transcendence detached from embodied life. Instead, it locates awakening within the unstable field of sensory experience, ritual movement, erotic ambiguity, and gendered embodiment. The dance of the Yoginītantra is therefore not simply symbolic performance. It is a ritual negotiation of power, desire, knowledge, and transformation enacted through the body itself.</w:t>
      </w:r>
    </w:p>
    <w:p w14:paraId="3909483A" w14:textId="14A56295" w:rsidR="000B3326" w:rsidRPr="000B3326" w:rsidRDefault="000B3326" w:rsidP="00AF49A4">
      <w:pPr>
        <w:rPr>
          <w:rFonts w:ascii="Times New Roman" w:eastAsia="Times New Roman" w:hAnsi="Times New Roman" w:cs="Times New Roman"/>
          <w:kern w:val="0"/>
          <w:szCs w:val="24"/>
          <w:lang w:eastAsia="en-GB"/>
          <w14:ligatures w14:val="none"/>
        </w:rPr>
      </w:pPr>
    </w:p>
    <w:p w14:paraId="3424B60F" w14:textId="77777777" w:rsidR="000B3326" w:rsidRPr="00291C7E" w:rsidRDefault="000B3326" w:rsidP="00AF49A4">
      <w:pPr>
        <w:outlineLvl w:val="1"/>
        <w:rPr>
          <w:rFonts w:ascii="Times New Roman" w:eastAsia="Times New Roman" w:hAnsi="Times New Roman" w:cs="Times New Roman"/>
          <w:b/>
          <w:bCs/>
          <w:color w:val="000000"/>
          <w:kern w:val="0"/>
          <w:sz w:val="28"/>
          <w:szCs w:val="28"/>
          <w:lang w:eastAsia="en-GB"/>
          <w14:ligatures w14:val="none"/>
        </w:rPr>
      </w:pPr>
      <w:r w:rsidRPr="00291C7E">
        <w:rPr>
          <w:rFonts w:ascii="Times New Roman" w:eastAsia="Times New Roman" w:hAnsi="Times New Roman" w:cs="Times New Roman"/>
          <w:b/>
          <w:bCs/>
          <w:color w:val="000000"/>
          <w:kern w:val="0"/>
          <w:sz w:val="28"/>
          <w:szCs w:val="28"/>
          <w:lang w:eastAsia="en-GB"/>
          <w14:ligatures w14:val="none"/>
        </w:rPr>
        <w:t>4. Self-Critique: Three Objections to “Performed Liberation” and Tantric Responses</w:t>
      </w:r>
    </w:p>
    <w:p w14:paraId="7F6920E2" w14:textId="77777777" w:rsidR="000B3326" w:rsidRPr="00291C7E" w:rsidRDefault="000B3326" w:rsidP="00AF49A4">
      <w:pPr>
        <w:outlineLvl w:val="2"/>
        <w:rPr>
          <w:rFonts w:ascii="Times New Roman" w:eastAsia="Times New Roman" w:hAnsi="Times New Roman" w:cs="Times New Roman"/>
          <w:b/>
          <w:bCs/>
          <w:color w:val="000000"/>
          <w:kern w:val="0"/>
          <w:szCs w:val="24"/>
          <w:lang w:eastAsia="en-GB"/>
          <w14:ligatures w14:val="none"/>
        </w:rPr>
      </w:pPr>
      <w:r w:rsidRPr="00291C7E">
        <w:rPr>
          <w:rFonts w:ascii="Times New Roman" w:eastAsia="Times New Roman" w:hAnsi="Times New Roman" w:cs="Times New Roman"/>
          <w:b/>
          <w:bCs/>
          <w:color w:val="000000"/>
          <w:kern w:val="0"/>
          <w:szCs w:val="24"/>
          <w:lang w:eastAsia="en-GB"/>
          <w14:ligatures w14:val="none"/>
        </w:rPr>
        <w:t>First Objection: The Risk of Self-Deception</w:t>
      </w:r>
    </w:p>
    <w:p w14:paraId="7F1F6A38" w14:textId="77777777" w:rsid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Does dance genuinely produce non-attachment, or does it merely sublimate desire into a more refined and concealed form?</w:t>
      </w:r>
    </w:p>
    <w:p w14:paraId="364C535D" w14:textId="64D8EB64"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291C7E">
        <w:rPr>
          <w:rFonts w:ascii="Times New Roman" w:eastAsia="Times New Roman" w:hAnsi="Times New Roman" w:cs="Times New Roman"/>
          <w:b/>
          <w:bCs/>
          <w:color w:val="000000"/>
          <w:kern w:val="0"/>
          <w:szCs w:val="24"/>
          <w:lang w:eastAsia="en-GB"/>
          <w14:ligatures w14:val="none"/>
        </w:rPr>
        <w:t>The tantric response</w:t>
      </w:r>
      <w:r w:rsidRPr="000B3326">
        <w:rPr>
          <w:rFonts w:ascii="Times New Roman" w:eastAsia="Times New Roman" w:hAnsi="Times New Roman" w:cs="Times New Roman"/>
          <w:color w:val="000000"/>
          <w:kern w:val="0"/>
          <w:szCs w:val="24"/>
          <w:lang w:eastAsia="en-GB"/>
          <w14:ligatures w14:val="none"/>
        </w:rPr>
        <w:t xml:space="preserve"> </w:t>
      </w:r>
      <w:r w:rsidRPr="00E57E15">
        <w:rPr>
          <w:rFonts w:ascii="Times New Roman" w:eastAsia="Times New Roman" w:hAnsi="Times New Roman" w:cs="Times New Roman"/>
          <w:b/>
          <w:bCs/>
          <w:color w:val="000000"/>
          <w:kern w:val="0"/>
          <w:szCs w:val="24"/>
          <w:lang w:eastAsia="en-GB"/>
          <w14:ligatures w14:val="none"/>
        </w:rPr>
        <w:t>is radical</w:t>
      </w:r>
      <w:r w:rsidRPr="000B3326">
        <w:rPr>
          <w:rFonts w:ascii="Times New Roman" w:eastAsia="Times New Roman" w:hAnsi="Times New Roman" w:cs="Times New Roman"/>
          <w:color w:val="000000"/>
          <w:kern w:val="0"/>
          <w:szCs w:val="24"/>
          <w:lang w:eastAsia="en-GB"/>
          <w14:ligatures w14:val="none"/>
        </w:rPr>
        <w:t>: that which obstructs the path may itself become the path. Rather than suppressing the senses, tantric practice ritualizes and transforms them. Yet this claim remains fundamentally phenomenological.</w:t>
      </w:r>
      <w:r w:rsidR="00E57E15">
        <w:rPr>
          <w:rFonts w:ascii="Times New Roman" w:eastAsia="Times New Roman" w:hAnsi="Times New Roman" w:cs="Times New Roman"/>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There exists no direct ethnographic or historical evidence confirming the precise experiential transition from “I am dancing” to “dance is occurring.” Furthermore, verses such as the </w:t>
      </w:r>
      <w:r w:rsidRPr="000B3326">
        <w:rPr>
          <w:rFonts w:ascii="Times New Roman" w:eastAsia="Times New Roman" w:hAnsi="Times New Roman" w:cs="Times New Roman"/>
          <w:i/>
          <w:iCs/>
          <w:color w:val="000000"/>
          <w:kern w:val="0"/>
          <w:szCs w:val="24"/>
          <w:lang w:eastAsia="en-GB"/>
          <w14:ligatures w14:val="none"/>
        </w:rPr>
        <w:t>Caryāpada</w:t>
      </w:r>
      <w:r w:rsidRPr="000B3326">
        <w:rPr>
          <w:rFonts w:ascii="Times New Roman" w:eastAsia="Times New Roman" w:hAnsi="Times New Roman" w:cs="Times New Roman"/>
          <w:color w:val="000000"/>
          <w:kern w:val="0"/>
          <w:szCs w:val="24"/>
          <w:lang w:eastAsia="en-GB"/>
          <w14:ligatures w14:val="none"/>
        </w:rPr>
        <w:t> refrain:</w:t>
      </w:r>
    </w:p>
    <w:p w14:paraId="2926F69F"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“Nāca nāca go biṭu hāmāri nācanaho”</w:t>
      </w:r>
    </w:p>
    <w:p w14:paraId="56CFF173"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also carry unmistakable erotic and worldly resonances. It therefore remains difficult to determine whether such movement signifies detachment or ritualized attachment.</w:t>
      </w:r>
    </w:p>
    <w:p w14:paraId="026EB1C2" w14:textId="443732D1" w:rsidR="000B3326" w:rsidRPr="000B3326" w:rsidRDefault="000B3326" w:rsidP="00AF49A4">
      <w:pPr>
        <w:rPr>
          <w:rFonts w:ascii="Times New Roman" w:eastAsia="Times New Roman" w:hAnsi="Times New Roman" w:cs="Times New Roman"/>
          <w:kern w:val="0"/>
          <w:szCs w:val="24"/>
          <w:lang w:eastAsia="en-GB"/>
          <w14:ligatures w14:val="none"/>
        </w:rPr>
      </w:pPr>
    </w:p>
    <w:p w14:paraId="6BA5FEF2" w14:textId="77777777" w:rsidR="000B3326" w:rsidRPr="00291C7E" w:rsidRDefault="000B3326" w:rsidP="00AF49A4">
      <w:pPr>
        <w:outlineLvl w:val="2"/>
        <w:rPr>
          <w:rFonts w:ascii="Times New Roman" w:eastAsia="Times New Roman" w:hAnsi="Times New Roman" w:cs="Times New Roman"/>
          <w:b/>
          <w:bCs/>
          <w:color w:val="000000"/>
          <w:kern w:val="0"/>
          <w:szCs w:val="24"/>
          <w:lang w:eastAsia="en-GB"/>
          <w14:ligatures w14:val="none"/>
        </w:rPr>
      </w:pPr>
      <w:r w:rsidRPr="00291C7E">
        <w:rPr>
          <w:rFonts w:ascii="Times New Roman" w:eastAsia="Times New Roman" w:hAnsi="Times New Roman" w:cs="Times New Roman"/>
          <w:b/>
          <w:bCs/>
          <w:color w:val="000000"/>
          <w:kern w:val="0"/>
          <w:szCs w:val="24"/>
          <w:lang w:eastAsia="en-GB"/>
          <w14:ligatures w14:val="none"/>
        </w:rPr>
        <w:t>Second Objection: The Threat of Social Disorder</w:t>
      </w:r>
    </w:p>
    <w:p w14:paraId="5A326ED8"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Does the tantric rejection of caste and ritual purity risk collapsing social order into antinomianism?</w:t>
      </w:r>
    </w:p>
    <w:p w14:paraId="5BD338A6"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291C7E">
        <w:rPr>
          <w:rFonts w:ascii="Times New Roman" w:eastAsia="Times New Roman" w:hAnsi="Times New Roman" w:cs="Times New Roman"/>
          <w:b/>
          <w:bCs/>
          <w:color w:val="000000"/>
          <w:kern w:val="0"/>
          <w:szCs w:val="24"/>
          <w:lang w:eastAsia="en-GB"/>
          <w14:ligatures w14:val="none"/>
        </w:rPr>
        <w:t>The tantric response</w:t>
      </w:r>
      <w:r w:rsidRPr="000B3326">
        <w:rPr>
          <w:rFonts w:ascii="Times New Roman" w:eastAsia="Times New Roman" w:hAnsi="Times New Roman" w:cs="Times New Roman"/>
          <w:color w:val="000000"/>
          <w:kern w:val="0"/>
          <w:szCs w:val="24"/>
          <w:lang w:eastAsia="en-GB"/>
          <w14:ligatures w14:val="none"/>
        </w:rPr>
        <w:t xml:space="preserve"> is that Tantra does not advocate chaos. The dissolution of distinctions between pure and impure signifies an inner realization of shared Buddha-nature across all beings. Ritual transgression remains highly controlled, symbolic, and initiatory. It is not social anarchism but a specialized contemplative technology reserved for qualified practitioners.</w:t>
      </w:r>
    </w:p>
    <w:p w14:paraId="51310C86" w14:textId="2BF07EA4" w:rsidR="000B3326" w:rsidRPr="000B3326" w:rsidRDefault="000B3326" w:rsidP="00AF49A4">
      <w:pPr>
        <w:rPr>
          <w:rFonts w:ascii="Times New Roman" w:eastAsia="Times New Roman" w:hAnsi="Times New Roman" w:cs="Times New Roman"/>
          <w:kern w:val="0"/>
          <w:szCs w:val="24"/>
          <w:lang w:eastAsia="en-GB"/>
          <w14:ligatures w14:val="none"/>
        </w:rPr>
      </w:pPr>
    </w:p>
    <w:p w14:paraId="61BA50D0" w14:textId="77777777" w:rsidR="000B3326" w:rsidRPr="00291C7E" w:rsidRDefault="000B3326" w:rsidP="00AF49A4">
      <w:pPr>
        <w:outlineLvl w:val="2"/>
        <w:rPr>
          <w:rFonts w:ascii="Times New Roman" w:eastAsia="Times New Roman" w:hAnsi="Times New Roman" w:cs="Times New Roman"/>
          <w:b/>
          <w:bCs/>
          <w:color w:val="000000"/>
          <w:kern w:val="0"/>
          <w:szCs w:val="24"/>
          <w:lang w:eastAsia="en-GB"/>
          <w14:ligatures w14:val="none"/>
        </w:rPr>
      </w:pPr>
      <w:r w:rsidRPr="00291C7E">
        <w:rPr>
          <w:rFonts w:ascii="Times New Roman" w:eastAsia="Times New Roman" w:hAnsi="Times New Roman" w:cs="Times New Roman"/>
          <w:b/>
          <w:bCs/>
          <w:color w:val="000000"/>
          <w:kern w:val="0"/>
          <w:szCs w:val="24"/>
          <w:lang w:eastAsia="en-GB"/>
          <w14:ligatures w14:val="none"/>
        </w:rPr>
        <w:t>Third Objection: The Collapse of Scriptural Authority</w:t>
      </w:r>
    </w:p>
    <w:p w14:paraId="002D4847" w14:textId="7779940A" w:rsidR="00291C7E"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If one abandons the disciplinary structures of the </w:t>
      </w:r>
      <w:r w:rsidRPr="000B3326">
        <w:rPr>
          <w:rFonts w:ascii="Times New Roman" w:eastAsia="Times New Roman" w:hAnsi="Times New Roman" w:cs="Times New Roman"/>
          <w:i/>
          <w:iCs/>
          <w:color w:val="000000"/>
          <w:kern w:val="0"/>
          <w:szCs w:val="24"/>
          <w:lang w:eastAsia="en-GB"/>
          <w14:ligatures w14:val="none"/>
        </w:rPr>
        <w:t>Nāṭyaśāstra</w:t>
      </w:r>
      <w:r w:rsidRPr="000B3326">
        <w:rPr>
          <w:rFonts w:ascii="Times New Roman" w:eastAsia="Times New Roman" w:hAnsi="Times New Roman" w:cs="Times New Roman"/>
          <w:color w:val="000000"/>
          <w:kern w:val="0"/>
          <w:szCs w:val="24"/>
          <w:lang w:eastAsia="en-GB"/>
          <w14:ligatures w14:val="none"/>
        </w:rPr>
        <w:t> or early Buddhist </w:t>
      </w:r>
      <w:r w:rsidRPr="000B3326">
        <w:rPr>
          <w:rFonts w:ascii="Times New Roman" w:eastAsia="Times New Roman" w:hAnsi="Times New Roman" w:cs="Times New Roman"/>
          <w:i/>
          <w:iCs/>
          <w:color w:val="000000"/>
          <w:kern w:val="0"/>
          <w:szCs w:val="24"/>
          <w:lang w:eastAsia="en-GB"/>
          <w14:ligatures w14:val="none"/>
        </w:rPr>
        <w:t>Vinaya</w:t>
      </w:r>
      <w:r w:rsidRPr="000B3326">
        <w:rPr>
          <w:rFonts w:ascii="Times New Roman" w:eastAsia="Times New Roman" w:hAnsi="Times New Roman" w:cs="Times New Roman"/>
          <w:color w:val="000000"/>
          <w:kern w:val="0"/>
          <w:szCs w:val="24"/>
          <w:lang w:eastAsia="en-GB"/>
          <w14:ligatures w14:val="none"/>
        </w:rPr>
        <w:t>, does the path itself not collapse?</w:t>
      </w:r>
    </w:p>
    <w:p w14:paraId="7B72FF1D" w14:textId="77777777" w:rsidR="000B3326" w:rsidRDefault="000B3326" w:rsidP="00AF49A4">
      <w:pPr>
        <w:rPr>
          <w:rFonts w:ascii="Times New Roman" w:eastAsia="Times New Roman" w:hAnsi="Times New Roman" w:cs="Times New Roman"/>
          <w:color w:val="000000"/>
          <w:kern w:val="0"/>
          <w:szCs w:val="24"/>
          <w:lang w:eastAsia="en-GB"/>
          <w14:ligatures w14:val="none"/>
        </w:rPr>
      </w:pPr>
      <w:r w:rsidRPr="00247A8E">
        <w:rPr>
          <w:rFonts w:ascii="Times New Roman" w:eastAsia="Times New Roman" w:hAnsi="Times New Roman" w:cs="Times New Roman"/>
          <w:b/>
          <w:bCs/>
          <w:color w:val="000000"/>
          <w:kern w:val="0"/>
          <w:szCs w:val="24"/>
          <w:lang w:eastAsia="en-GB"/>
          <w14:ligatures w14:val="none"/>
        </w:rPr>
        <w:t>The </w:t>
      </w:r>
      <w:r w:rsidRPr="00247A8E">
        <w:rPr>
          <w:rFonts w:ascii="Times New Roman" w:eastAsia="Times New Roman" w:hAnsi="Times New Roman" w:cs="Times New Roman"/>
          <w:b/>
          <w:bCs/>
          <w:i/>
          <w:iCs/>
          <w:color w:val="000000"/>
          <w:kern w:val="0"/>
          <w:szCs w:val="24"/>
          <w:lang w:eastAsia="en-GB"/>
          <w14:ligatures w14:val="none"/>
        </w:rPr>
        <w:t>Hevajratantra</w:t>
      </w:r>
      <w:r w:rsidRPr="00247A8E">
        <w:rPr>
          <w:rFonts w:ascii="Times New Roman" w:eastAsia="Times New Roman" w:hAnsi="Times New Roman" w:cs="Times New Roman"/>
          <w:b/>
          <w:bCs/>
          <w:color w:val="000000"/>
          <w:kern w:val="0"/>
          <w:szCs w:val="24"/>
          <w:lang w:eastAsia="en-GB"/>
          <w14:ligatures w14:val="none"/>
        </w:rPr>
        <w:t> responds through the logic of dependent origination itself</w:t>
      </w:r>
      <w:r w:rsidRPr="000B3326">
        <w:rPr>
          <w:rFonts w:ascii="Times New Roman" w:eastAsia="Times New Roman" w:hAnsi="Times New Roman" w:cs="Times New Roman"/>
          <w:color w:val="000000"/>
          <w:kern w:val="0"/>
          <w:szCs w:val="24"/>
          <w:lang w:eastAsia="en-GB"/>
          <w14:ligatures w14:val="none"/>
        </w:rPr>
        <w:t>: even scriptures and disciplinary systems are contingent and constructed. They arise through causes and conditions and therefore possess no eternal ontological status.</w:t>
      </w:r>
    </w:p>
    <w:p w14:paraId="06315A6A" w14:textId="77777777" w:rsidR="00BE3008" w:rsidRPr="000B3326" w:rsidRDefault="00BE3008" w:rsidP="00AF49A4">
      <w:pPr>
        <w:rPr>
          <w:rFonts w:ascii="Times New Roman" w:eastAsia="Times New Roman" w:hAnsi="Times New Roman" w:cs="Times New Roman"/>
          <w:color w:val="000000"/>
          <w:kern w:val="0"/>
          <w:szCs w:val="24"/>
          <w:lang w:eastAsia="en-GB"/>
          <w14:ligatures w14:val="none"/>
        </w:rPr>
      </w:pPr>
    </w:p>
    <w:p w14:paraId="05B1E93C"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Accordingly, the ecstatic immediacy of dance and song becomes a site of direct realization beyond textual mediation. This does not imply the destruction of scriptural authority, but rather the relocation of authority from textual abstraction to embodied realization.</w:t>
      </w:r>
    </w:p>
    <w:p w14:paraId="154D5347"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Nevertheless, Tantra simultaneously warns that such practices are dangerous without proper initiation, guidance, and ritual discipline. Direct experience itself remains dependent upon correct conditions:</w:t>
      </w:r>
    </w:p>
    <w:p w14:paraId="52809246" w14:textId="77777777" w:rsidR="000B3326" w:rsidRPr="000B3326" w:rsidRDefault="000B3326" w:rsidP="00AF49A4">
      <w:pPr>
        <w:numPr>
          <w:ilvl w:val="0"/>
          <w:numId w:val="5"/>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guru,</w:t>
      </w:r>
    </w:p>
    <w:p w14:paraId="29786C36" w14:textId="77777777" w:rsidR="000B3326" w:rsidRPr="000B3326" w:rsidRDefault="000B3326" w:rsidP="00AF49A4">
      <w:pPr>
        <w:numPr>
          <w:ilvl w:val="0"/>
          <w:numId w:val="5"/>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initiation,</w:t>
      </w:r>
    </w:p>
    <w:p w14:paraId="0BDC12DC" w14:textId="77777777" w:rsidR="000B3326" w:rsidRPr="000B3326" w:rsidRDefault="000B3326" w:rsidP="00AF49A4">
      <w:pPr>
        <w:numPr>
          <w:ilvl w:val="0"/>
          <w:numId w:val="5"/>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ethical preparation,</w:t>
      </w:r>
    </w:p>
    <w:p w14:paraId="14CC4117" w14:textId="77777777" w:rsidR="000B3326" w:rsidRDefault="000B3326" w:rsidP="00AF49A4">
      <w:pPr>
        <w:numPr>
          <w:ilvl w:val="0"/>
          <w:numId w:val="5"/>
        </w:num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and contemplative training.</w:t>
      </w:r>
    </w:p>
    <w:p w14:paraId="3AE889FC" w14:textId="77777777" w:rsidR="000B3326" w:rsidRDefault="000B3326" w:rsidP="00AF49A4">
      <w:pPr>
        <w:rPr>
          <w:rFonts w:ascii="Times New Roman" w:eastAsia="Times New Roman" w:hAnsi="Times New Roman" w:cs="Times New Roman"/>
          <w:color w:val="000000"/>
          <w:kern w:val="0"/>
          <w:szCs w:val="24"/>
          <w:lang w:eastAsia="en-GB"/>
          <w14:ligatures w14:val="none"/>
        </w:rPr>
      </w:pPr>
    </w:p>
    <w:p w14:paraId="1D6E9360" w14:textId="77777777" w:rsidR="000B3326" w:rsidRPr="00BE3008" w:rsidRDefault="000B3326" w:rsidP="00AF49A4">
      <w:pPr>
        <w:outlineLvl w:val="1"/>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5. Archie J. Bahm’s Buddhist Aesthetics: A Reassessment</w:t>
      </w:r>
    </w:p>
    <w:p w14:paraId="36189661" w14:textId="77777777" w:rsidR="000B3326" w:rsidRDefault="000B3326" w:rsidP="00AF49A4">
      <w:pPr>
        <w:rPr>
          <w:rFonts w:ascii="Times New Roman" w:eastAsia="Times New Roman" w:hAnsi="Times New Roman" w:cs="Times New Roman"/>
          <w:color w:val="000000"/>
          <w:kern w:val="0"/>
          <w:szCs w:val="24"/>
          <w:lang w:eastAsia="en-GB"/>
          <w14:ligatures w14:val="none"/>
        </w:rPr>
      </w:pPr>
      <w:r w:rsidRPr="00BE3008">
        <w:rPr>
          <w:rFonts w:ascii="Times New Roman" w:eastAsia="Times New Roman" w:hAnsi="Times New Roman" w:cs="Times New Roman"/>
          <w:color w:val="000000"/>
          <w:kern w:val="0"/>
          <w:sz w:val="28"/>
          <w:szCs w:val="28"/>
          <w:lang w:eastAsia="en-GB"/>
          <w14:ligatures w14:val="none"/>
        </w:rPr>
        <w:t>I</w:t>
      </w:r>
      <w:r w:rsidRPr="000B3326">
        <w:rPr>
          <w:rFonts w:ascii="Times New Roman" w:eastAsia="Times New Roman" w:hAnsi="Times New Roman" w:cs="Times New Roman"/>
          <w:color w:val="000000"/>
          <w:kern w:val="0"/>
          <w:szCs w:val="24"/>
          <w:lang w:eastAsia="en-GB"/>
          <w14:ligatures w14:val="none"/>
        </w:rPr>
        <w:t>n his influential essay “Buddhist Aesthetics,” Archie J. Bahm reconstructs what he understands to be the Buddha’s aesthetic position on the basis of early Buddhist canonical materials. For Bahm, nirvāṇa may be understood as “the joy of being completely willing to accept things as they are” (Bahm 1957). From this perspective, images, pagodas, rituals, and elaborate ceremonial forms appear secondary, if not irrelevant, to the fundamental Buddhist path.</w:t>
      </w:r>
    </w:p>
    <w:p w14:paraId="61983203" w14:textId="77777777" w:rsidR="00BE3008" w:rsidRPr="000B3326" w:rsidRDefault="00BE3008" w:rsidP="00AF49A4">
      <w:pPr>
        <w:rPr>
          <w:rFonts w:ascii="Times New Roman" w:eastAsia="Times New Roman" w:hAnsi="Times New Roman" w:cs="Times New Roman"/>
          <w:color w:val="000000"/>
          <w:kern w:val="0"/>
          <w:szCs w:val="24"/>
          <w:lang w:eastAsia="en-GB"/>
          <w14:ligatures w14:val="none"/>
        </w:rPr>
      </w:pPr>
    </w:p>
    <w:p w14:paraId="684DCC2C" w14:textId="10E7D2CE" w:rsid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However, caution is necessary. Bahm was not writing about tantric Buddhism. Therefore, to present the </w:t>
      </w:r>
      <w:r w:rsidRPr="000B3326">
        <w:rPr>
          <w:rFonts w:ascii="Times New Roman" w:eastAsia="Times New Roman" w:hAnsi="Times New Roman" w:cs="Times New Roman"/>
          <w:i/>
          <w:iCs/>
          <w:color w:val="000000"/>
          <w:kern w:val="0"/>
          <w:szCs w:val="24"/>
          <w:lang w:eastAsia="en-GB"/>
          <w14:ligatures w14:val="none"/>
        </w:rPr>
        <w:t>Hevajratantra</w:t>
      </w:r>
      <w:r w:rsidR="00247A8E">
        <w:rPr>
          <w:rFonts w:ascii="Times New Roman" w:eastAsia="Times New Roman" w:hAnsi="Times New Roman" w:cs="Times New Roman"/>
          <w:i/>
          <w:iCs/>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simply as an “alternative” to Bahm’s Buddha risks misunderstanding how Tantra understands itself. The </w:t>
      </w:r>
      <w:r w:rsidRPr="000B3326">
        <w:rPr>
          <w:rFonts w:ascii="Times New Roman" w:eastAsia="Times New Roman" w:hAnsi="Times New Roman" w:cs="Times New Roman"/>
          <w:i/>
          <w:iCs/>
          <w:color w:val="000000"/>
          <w:kern w:val="0"/>
          <w:szCs w:val="24"/>
          <w:lang w:eastAsia="en-GB"/>
          <w14:ligatures w14:val="none"/>
        </w:rPr>
        <w:t>Hevajratantra</w:t>
      </w:r>
      <w:r w:rsidR="00247A8E">
        <w:rPr>
          <w:rFonts w:ascii="Times New Roman" w:eastAsia="Times New Roman" w:hAnsi="Times New Roman" w:cs="Times New Roman"/>
          <w:i/>
          <w:iCs/>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does not necessarily position itself in opposition to early Buddhism. Rather, it may be understood through the Mahāyāna and Vajrayāna category of </w:t>
      </w:r>
      <w:r w:rsidRPr="000B3326">
        <w:rPr>
          <w:rFonts w:ascii="Times New Roman" w:eastAsia="Times New Roman" w:hAnsi="Times New Roman" w:cs="Times New Roman"/>
          <w:i/>
          <w:iCs/>
          <w:color w:val="000000"/>
          <w:kern w:val="0"/>
          <w:szCs w:val="24"/>
          <w:lang w:eastAsia="en-GB"/>
          <w14:ligatures w14:val="none"/>
        </w:rPr>
        <w:t>upāya-kauśalya</w:t>
      </w:r>
      <w:r w:rsidRPr="000B3326">
        <w:rPr>
          <w:rFonts w:ascii="Times New Roman" w:eastAsia="Times New Roman" w:hAnsi="Times New Roman" w:cs="Times New Roman"/>
          <w:color w:val="000000"/>
          <w:kern w:val="0"/>
          <w:szCs w:val="24"/>
          <w:lang w:eastAsia="en-GB"/>
          <w14:ligatures w14:val="none"/>
        </w:rPr>
        <w:t>—skillful means.</w:t>
      </w:r>
    </w:p>
    <w:p w14:paraId="355167A4" w14:textId="77777777" w:rsidR="00BE3008" w:rsidRPr="000B3326" w:rsidRDefault="00BE3008" w:rsidP="00AF49A4">
      <w:pPr>
        <w:rPr>
          <w:rFonts w:ascii="Times New Roman" w:eastAsia="Times New Roman" w:hAnsi="Times New Roman" w:cs="Times New Roman"/>
          <w:color w:val="000000"/>
          <w:kern w:val="0"/>
          <w:szCs w:val="24"/>
          <w:lang w:eastAsia="en-GB"/>
          <w14:ligatures w14:val="none"/>
        </w:rPr>
      </w:pPr>
    </w:p>
    <w:p w14:paraId="0B9E9206"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From this perspective, Tantra does not reject non-attachment. It reconfigures the path toward non-attachment for beings deeply entangled in sensory experience. Desire is not merely suppressed; it is ritually engaged, disciplined, and transformed. This distinction is crucial for reading tantric dance and song not as deviation from Buddhist practice but as an intensified and embodied form of Buddhist method.</w:t>
      </w:r>
    </w:p>
    <w:p w14:paraId="5D54A215" w14:textId="29BD13B3" w:rsidR="000B3326" w:rsidRPr="000B3326" w:rsidRDefault="000B3326" w:rsidP="00AF49A4">
      <w:pPr>
        <w:rPr>
          <w:rFonts w:ascii="Times New Roman" w:eastAsia="Times New Roman" w:hAnsi="Times New Roman" w:cs="Times New Roman"/>
          <w:kern w:val="0"/>
          <w:szCs w:val="24"/>
          <w:lang w:eastAsia="en-GB"/>
          <w14:ligatures w14:val="none"/>
        </w:rPr>
      </w:pPr>
    </w:p>
    <w:p w14:paraId="12DAD86C" w14:textId="77777777" w:rsidR="000B3326" w:rsidRPr="00BE3008" w:rsidRDefault="000B3326" w:rsidP="00AF49A4">
      <w:pPr>
        <w:outlineLvl w:val="1"/>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6. Acknowledging the Evidentiary Limits of Certain Claims</w:t>
      </w:r>
    </w:p>
    <w:p w14:paraId="70AD6413"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For the sake of academic rigor, several claims in this essay must be framed with caution.</w:t>
      </w:r>
    </w:p>
    <w:p w14:paraId="52B34B3E"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46E519A0" w14:textId="0F01CA1C" w:rsid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First, the precise meaning of dance “in the purified state of mantra” remains underdetermined. Beyond Snellgrove’s translation and commentary on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other relevant commentarial traditions require further examination. Future research should consult texts such as the </w:t>
      </w:r>
      <w:r w:rsidRPr="000B3326">
        <w:rPr>
          <w:rFonts w:ascii="Times New Roman" w:eastAsia="Times New Roman" w:hAnsi="Times New Roman" w:cs="Times New Roman"/>
          <w:i/>
          <w:iCs/>
          <w:color w:val="000000"/>
          <w:kern w:val="0"/>
          <w:szCs w:val="24"/>
          <w:lang w:eastAsia="en-GB"/>
          <w14:ligatures w14:val="none"/>
        </w:rPr>
        <w:t>Vajrāvalī</w:t>
      </w:r>
      <w:r w:rsidRPr="000B3326">
        <w:rPr>
          <w:rFonts w:ascii="Times New Roman" w:eastAsia="Times New Roman" w:hAnsi="Times New Roman" w:cs="Times New Roman"/>
          <w:color w:val="000000"/>
          <w:kern w:val="0"/>
          <w:szCs w:val="24"/>
          <w:lang w:eastAsia="en-GB"/>
          <w14:ligatures w14:val="none"/>
        </w:rPr>
        <w:t> and the </w:t>
      </w:r>
      <w:r w:rsidRPr="000B3326">
        <w:rPr>
          <w:rFonts w:ascii="Times New Roman" w:eastAsia="Times New Roman" w:hAnsi="Times New Roman" w:cs="Times New Roman"/>
          <w:i/>
          <w:iCs/>
          <w:color w:val="000000"/>
          <w:kern w:val="0"/>
          <w:szCs w:val="24"/>
          <w:lang w:eastAsia="en-GB"/>
          <w14:ligatures w14:val="none"/>
        </w:rPr>
        <w:t>Ṣaṭcakrayoga</w:t>
      </w:r>
      <w:r w:rsidRPr="000B3326">
        <w:rPr>
          <w:rFonts w:ascii="Times New Roman" w:eastAsia="Times New Roman" w:hAnsi="Times New Roman" w:cs="Times New Roman"/>
          <w:color w:val="000000"/>
          <w:kern w:val="0"/>
          <w:szCs w:val="24"/>
          <w:lang w:eastAsia="en-GB"/>
          <w14:ligatures w14:val="none"/>
        </w:rPr>
        <w:t> in order to determine whether they clarify the ritual and meditative status of song and dance.</w:t>
      </w:r>
    </w:p>
    <w:p w14:paraId="008B36F7" w14:textId="77777777" w:rsidR="00BE3008" w:rsidRPr="000B3326" w:rsidRDefault="00BE3008" w:rsidP="00AF49A4">
      <w:pPr>
        <w:rPr>
          <w:rFonts w:ascii="Times New Roman" w:eastAsia="Times New Roman" w:hAnsi="Times New Roman" w:cs="Times New Roman"/>
          <w:color w:val="000000"/>
          <w:kern w:val="0"/>
          <w:szCs w:val="24"/>
          <w:lang w:eastAsia="en-GB"/>
          <w14:ligatures w14:val="none"/>
        </w:rPr>
      </w:pPr>
    </w:p>
    <w:p w14:paraId="5E14D82E" w14:textId="7BC49F14"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Second, the proposed connection between Abhinavagupta’s </w:t>
      </w:r>
      <w:r w:rsidRPr="000B3326">
        <w:rPr>
          <w:rFonts w:ascii="Times New Roman" w:eastAsia="Times New Roman" w:hAnsi="Times New Roman" w:cs="Times New Roman"/>
          <w:i/>
          <w:iCs/>
          <w:color w:val="000000"/>
          <w:kern w:val="0"/>
          <w:szCs w:val="24"/>
          <w:lang w:eastAsia="en-GB"/>
          <w14:ligatures w14:val="none"/>
        </w:rPr>
        <w:t>alaukika rasa</w:t>
      </w:r>
      <w:r w:rsidRPr="000B3326">
        <w:rPr>
          <w:rFonts w:ascii="Times New Roman" w:eastAsia="Times New Roman" w:hAnsi="Times New Roman" w:cs="Times New Roman"/>
          <w:color w:val="000000"/>
          <w:kern w:val="0"/>
          <w:szCs w:val="24"/>
          <w:lang w:eastAsia="en-GB"/>
          <w14:ligatures w14:val="none"/>
        </w:rPr>
        <w:t> and the Buddhist Abhidharma notion of </w:t>
      </w:r>
      <w:r w:rsidRPr="000B3326">
        <w:rPr>
          <w:rFonts w:ascii="Times New Roman" w:eastAsia="Times New Roman" w:hAnsi="Times New Roman" w:cs="Times New Roman"/>
          <w:i/>
          <w:iCs/>
          <w:color w:val="000000"/>
          <w:kern w:val="0"/>
          <w:szCs w:val="24"/>
          <w:lang w:eastAsia="en-GB"/>
          <w14:ligatures w14:val="none"/>
        </w:rPr>
        <w:t>ahetuka citta</w:t>
      </w:r>
      <w:r w:rsidRPr="000B3326">
        <w:rPr>
          <w:rFonts w:ascii="Times New Roman" w:eastAsia="Times New Roman" w:hAnsi="Times New Roman" w:cs="Times New Roman"/>
          <w:color w:val="000000"/>
          <w:kern w:val="0"/>
          <w:szCs w:val="24"/>
          <w:lang w:eastAsia="en-GB"/>
          <w14:ligatures w14:val="none"/>
        </w:rPr>
        <w:t> remains</w:t>
      </w:r>
      <w:r w:rsidR="00247A8E">
        <w:rPr>
          <w:rFonts w:ascii="Times New Roman" w:eastAsia="Times New Roman" w:hAnsi="Times New Roman" w:cs="Times New Roman"/>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hypothetical.</w:t>
      </w:r>
      <w:r w:rsidR="00247A8E">
        <w:rPr>
          <w:rFonts w:ascii="Times New Roman" w:eastAsia="Times New Roman" w:hAnsi="Times New Roman" w:cs="Times New Roman"/>
          <w:color w:val="000000"/>
          <w:kern w:val="0"/>
          <w:szCs w:val="24"/>
          <w:lang w:eastAsia="en-GB"/>
          <w14:ligatures w14:val="none"/>
        </w:rPr>
        <w:t xml:space="preserve"> </w:t>
      </w:r>
      <w:r w:rsidRPr="000B3326">
        <w:rPr>
          <w:rFonts w:ascii="Times New Roman" w:eastAsia="Times New Roman" w:hAnsi="Times New Roman" w:cs="Times New Roman"/>
          <w:color w:val="000000"/>
          <w:kern w:val="0"/>
          <w:szCs w:val="24"/>
          <w:lang w:eastAsia="en-GB"/>
          <w14:ligatures w14:val="none"/>
        </w:rPr>
        <w:t>Vasubandhu’s </w:t>
      </w:r>
      <w:r w:rsidR="00247A8E">
        <w:rPr>
          <w:rFonts w:ascii="Times New Roman" w:eastAsia="Times New Roman" w:hAnsi="Times New Roman" w:cs="Times New Roman"/>
          <w:color w:val="000000"/>
          <w:kern w:val="0"/>
          <w:szCs w:val="24"/>
          <w:lang w:eastAsia="en-GB"/>
          <w14:ligatures w14:val="none"/>
        </w:rPr>
        <w:t xml:space="preserve"> </w:t>
      </w:r>
      <w:r w:rsidRPr="000B3326">
        <w:rPr>
          <w:rFonts w:ascii="Times New Roman" w:eastAsia="Times New Roman" w:hAnsi="Times New Roman" w:cs="Times New Roman"/>
          <w:i/>
          <w:iCs/>
          <w:color w:val="000000"/>
          <w:kern w:val="0"/>
          <w:szCs w:val="24"/>
          <w:lang w:eastAsia="en-GB"/>
          <w14:ligatures w14:val="none"/>
        </w:rPr>
        <w:t>Abhidharmakośabhāṣya</w:t>
      </w:r>
      <w:r w:rsidRPr="000B3326">
        <w:rPr>
          <w:rFonts w:ascii="Times New Roman" w:eastAsia="Times New Roman" w:hAnsi="Times New Roman" w:cs="Times New Roman"/>
          <w:color w:val="000000"/>
          <w:kern w:val="0"/>
          <w:szCs w:val="24"/>
          <w:lang w:eastAsia="en-GB"/>
          <w14:ligatures w14:val="none"/>
        </w:rPr>
        <w:t> does not explicitly present </w:t>
      </w:r>
      <w:r w:rsidRPr="000B3326">
        <w:rPr>
          <w:rFonts w:ascii="Times New Roman" w:eastAsia="Times New Roman" w:hAnsi="Times New Roman" w:cs="Times New Roman"/>
          <w:i/>
          <w:iCs/>
          <w:color w:val="000000"/>
          <w:kern w:val="0"/>
          <w:szCs w:val="24"/>
          <w:lang w:eastAsia="en-GB"/>
          <w14:ligatures w14:val="none"/>
        </w:rPr>
        <w:t>ahetuka citta</w:t>
      </w:r>
      <w:r w:rsidRPr="000B3326">
        <w:rPr>
          <w:rFonts w:ascii="Times New Roman" w:eastAsia="Times New Roman" w:hAnsi="Times New Roman" w:cs="Times New Roman"/>
          <w:color w:val="000000"/>
          <w:kern w:val="0"/>
          <w:szCs w:val="24"/>
          <w:lang w:eastAsia="en-GB"/>
          <w14:ligatures w14:val="none"/>
        </w:rPr>
        <w:t> as a theory of aesthetic experience. Therefore, this connection should be treated as a conceptual possibility rather than a demonstrated historical influence.</w:t>
      </w:r>
    </w:p>
    <w:p w14:paraId="0EA369CD"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60B63A5F" w14:textId="1A000A9A"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Third, the phrase “performed liberation” requires conceptual precision. Does liberation here refer to post-mortem nirvāṇa, or to a form of living realization associated with </w:t>
      </w:r>
      <w:r w:rsidRPr="000B3326">
        <w:rPr>
          <w:rFonts w:ascii="Times New Roman" w:eastAsia="Times New Roman" w:hAnsi="Times New Roman" w:cs="Times New Roman"/>
          <w:i/>
          <w:iCs/>
          <w:color w:val="000000"/>
          <w:kern w:val="0"/>
          <w:szCs w:val="24"/>
          <w:lang w:eastAsia="en-GB"/>
          <w14:ligatures w14:val="none"/>
        </w:rPr>
        <w:t>sahaja</w:t>
      </w:r>
      <w:r w:rsidRPr="000B3326">
        <w:rPr>
          <w:rFonts w:ascii="Times New Roman" w:eastAsia="Times New Roman" w:hAnsi="Times New Roman" w:cs="Times New Roman"/>
          <w:color w:val="000000"/>
          <w:kern w:val="0"/>
          <w:szCs w:val="24"/>
          <w:lang w:eastAsia="en-GB"/>
          <w14:ligatures w14:val="none"/>
        </w:rPr>
        <w:t>?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1.1.11 includes the term </w:t>
      </w:r>
      <w:r w:rsidRPr="000B3326">
        <w:rPr>
          <w:rFonts w:ascii="Times New Roman" w:eastAsia="Times New Roman" w:hAnsi="Times New Roman" w:cs="Times New Roman"/>
          <w:i/>
          <w:iCs/>
          <w:color w:val="000000"/>
          <w:kern w:val="0"/>
          <w:szCs w:val="24"/>
          <w:lang w:eastAsia="en-GB"/>
          <w14:ligatures w14:val="none"/>
        </w:rPr>
        <w:t>ihaiva</w:t>
      </w:r>
      <w:r w:rsidRPr="000B3326">
        <w:rPr>
          <w:rFonts w:ascii="Times New Roman" w:eastAsia="Times New Roman" w:hAnsi="Times New Roman" w:cs="Times New Roman"/>
          <w:color w:val="000000"/>
          <w:kern w:val="0"/>
          <w:szCs w:val="24"/>
          <w:lang w:eastAsia="en-GB"/>
          <w14:ligatures w14:val="none"/>
        </w:rPr>
        <w:t>—“in this very life”—which suggests the possibility of liberation within embodied existence. Yet in tantric contexts, “liberation” often approaches the experiential register of </w:t>
      </w:r>
      <w:r w:rsidRPr="000B3326">
        <w:rPr>
          <w:rFonts w:ascii="Times New Roman" w:eastAsia="Times New Roman" w:hAnsi="Times New Roman" w:cs="Times New Roman"/>
          <w:i/>
          <w:iCs/>
          <w:color w:val="000000"/>
          <w:kern w:val="0"/>
          <w:szCs w:val="24"/>
          <w:lang w:eastAsia="en-GB"/>
          <w14:ligatures w14:val="none"/>
        </w:rPr>
        <w:t>sahaja</w:t>
      </w:r>
      <w:r w:rsidRPr="000B3326">
        <w:rPr>
          <w:rFonts w:ascii="Times New Roman" w:eastAsia="Times New Roman" w:hAnsi="Times New Roman" w:cs="Times New Roman"/>
          <w:color w:val="000000"/>
          <w:kern w:val="0"/>
          <w:szCs w:val="24"/>
          <w:lang w:eastAsia="en-GB"/>
          <w14:ligatures w14:val="none"/>
        </w:rPr>
        <w:t> rather than the classical Buddhist category of nirvāṇa alone.</w:t>
      </w:r>
    </w:p>
    <w:p w14:paraId="49EA2A4C" w14:textId="72F12FA0" w:rsidR="000B3326" w:rsidRPr="000B3326" w:rsidRDefault="000B3326" w:rsidP="00AF49A4">
      <w:pPr>
        <w:rPr>
          <w:rFonts w:ascii="Times New Roman" w:eastAsia="Times New Roman" w:hAnsi="Times New Roman" w:cs="Times New Roman"/>
          <w:kern w:val="0"/>
          <w:szCs w:val="24"/>
          <w:lang w:eastAsia="en-GB"/>
          <w14:ligatures w14:val="none"/>
        </w:rPr>
      </w:pPr>
    </w:p>
    <w:p w14:paraId="37659301" w14:textId="77777777" w:rsidR="000B3326" w:rsidRPr="00BE3008" w:rsidRDefault="000B3326" w:rsidP="00AF49A4">
      <w:pPr>
        <w:outlineLvl w:val="1"/>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7. The </w:t>
      </w:r>
      <w:r w:rsidRPr="00BE3008">
        <w:rPr>
          <w:rFonts w:ascii="Times New Roman" w:eastAsia="Times New Roman" w:hAnsi="Times New Roman" w:cs="Times New Roman"/>
          <w:b/>
          <w:bCs/>
          <w:i/>
          <w:iCs/>
          <w:color w:val="000000"/>
          <w:kern w:val="0"/>
          <w:sz w:val="28"/>
          <w:szCs w:val="28"/>
          <w:lang w:eastAsia="en-GB"/>
          <w14:ligatures w14:val="none"/>
        </w:rPr>
        <w:t>Caryāpada</w:t>
      </w:r>
      <w:r w:rsidRPr="00BE3008">
        <w:rPr>
          <w:rFonts w:ascii="Times New Roman" w:eastAsia="Times New Roman" w:hAnsi="Times New Roman" w:cs="Times New Roman"/>
          <w:b/>
          <w:bCs/>
          <w:color w:val="000000"/>
          <w:kern w:val="0"/>
          <w:sz w:val="28"/>
          <w:szCs w:val="28"/>
          <w:lang w:eastAsia="en-GB"/>
          <w14:ligatures w14:val="none"/>
        </w:rPr>
        <w:t>: Direct Evidence from Early Bengali Buddhist Literature</w:t>
      </w:r>
    </w:p>
    <w:p w14:paraId="4EC56EB2"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w:t>
      </w:r>
      <w:r w:rsidRPr="000B3326">
        <w:rPr>
          <w:rFonts w:ascii="Times New Roman" w:eastAsia="Times New Roman" w:hAnsi="Times New Roman" w:cs="Times New Roman"/>
          <w:i/>
          <w:iCs/>
          <w:color w:val="000000"/>
          <w:kern w:val="0"/>
          <w:szCs w:val="24"/>
          <w:lang w:eastAsia="en-GB"/>
          <w14:ligatures w14:val="none"/>
        </w:rPr>
        <w:t>Caryāpada</w:t>
      </w:r>
      <w:r w:rsidRPr="000B3326">
        <w:rPr>
          <w:rFonts w:ascii="Times New Roman" w:eastAsia="Times New Roman" w:hAnsi="Times New Roman" w:cs="Times New Roman"/>
          <w:color w:val="000000"/>
          <w:kern w:val="0"/>
          <w:szCs w:val="24"/>
          <w:lang w:eastAsia="en-GB"/>
          <w14:ligatures w14:val="none"/>
        </w:rPr>
        <w:t>, composed approximately between the tenth and twelfth centuries, constitutes one of the earliest surviving bodies of Bengali literature and offers a crucial literary context for the </w:t>
      </w:r>
      <w:r w:rsidRPr="000B3326">
        <w:rPr>
          <w:rFonts w:ascii="Times New Roman" w:eastAsia="Times New Roman" w:hAnsi="Times New Roman" w:cs="Times New Roman"/>
          <w:i/>
          <w:iCs/>
          <w:color w:val="000000"/>
          <w:kern w:val="0"/>
          <w:szCs w:val="24"/>
          <w:lang w:eastAsia="en-GB"/>
          <w14:ligatures w14:val="none"/>
        </w:rPr>
        <w:t>Hevajratantra</w:t>
      </w:r>
      <w:r w:rsidRPr="000B3326">
        <w:rPr>
          <w:rFonts w:ascii="Times New Roman" w:eastAsia="Times New Roman" w:hAnsi="Times New Roman" w:cs="Times New Roman"/>
          <w:color w:val="000000"/>
          <w:kern w:val="0"/>
          <w:szCs w:val="24"/>
          <w:lang w:eastAsia="en-GB"/>
          <w14:ligatures w14:val="none"/>
        </w:rPr>
        <w:t>. Many of its authors were Buddhist Siddhācāryas, and the text repeatedly invokes terms related to dance, song, bliss, and </w:t>
      </w:r>
      <w:r w:rsidRPr="000B3326">
        <w:rPr>
          <w:rFonts w:ascii="Times New Roman" w:eastAsia="Times New Roman" w:hAnsi="Times New Roman" w:cs="Times New Roman"/>
          <w:i/>
          <w:iCs/>
          <w:color w:val="000000"/>
          <w:kern w:val="0"/>
          <w:szCs w:val="24"/>
          <w:lang w:eastAsia="en-GB"/>
          <w14:ligatures w14:val="none"/>
        </w:rPr>
        <w:t>sahaja</w:t>
      </w:r>
      <w:r w:rsidRPr="000B3326">
        <w:rPr>
          <w:rFonts w:ascii="Times New Roman" w:eastAsia="Times New Roman" w:hAnsi="Times New Roman" w:cs="Times New Roman"/>
          <w:color w:val="000000"/>
          <w:kern w:val="0"/>
          <w:szCs w:val="24"/>
          <w:lang w:eastAsia="en-GB"/>
          <w14:ligatures w14:val="none"/>
        </w:rPr>
        <w:t>.</w:t>
      </w:r>
    </w:p>
    <w:p w14:paraId="7290FADF"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2761D083" w14:textId="6B6B6EC3" w:rsidR="00BE3008" w:rsidRPr="00BE3008" w:rsidRDefault="000B3326" w:rsidP="00BE3008">
      <w:pPr>
        <w:pStyle w:val="bullet"/>
        <w:spacing w:after="90"/>
        <w:ind w:left="0" w:firstLine="0"/>
        <w:jc w:val="left"/>
        <w:rPr>
          <w:rStyle w:val="WhiteText"/>
          <w:sz w:val="28"/>
          <w:szCs w:val="28"/>
        </w:rPr>
      </w:pPr>
      <w:r w:rsidRPr="000B3326">
        <w:rPr>
          <w:rFonts w:ascii="Times New Roman" w:eastAsia="Times New Roman" w:hAnsi="Times New Roman" w:cs="Times New Roman"/>
          <w:lang w:eastAsia="en-GB"/>
          <w14:ligatures w14:val="none"/>
        </w:rPr>
        <w:lastRenderedPageBreak/>
        <w:t xml:space="preserve">One relevant </w:t>
      </w:r>
      <w:r w:rsidRPr="00BE3008">
        <w:rPr>
          <w:rFonts w:ascii="Times New Roman" w:eastAsia="Times New Roman" w:hAnsi="Times New Roman" w:cs="Times New Roman"/>
          <w:b/>
          <w:bCs/>
          <w:lang w:eastAsia="en-GB"/>
          <w14:ligatures w14:val="none"/>
        </w:rPr>
        <w:t xml:space="preserve">verse </w:t>
      </w:r>
      <w:r w:rsidR="00BE3008" w:rsidRPr="00BE3008">
        <w:rPr>
          <w:rFonts w:ascii="Times New Roman" w:eastAsia="Times New Roman" w:hAnsi="Times New Roman" w:cs="Times New Roman"/>
          <w:lang w:eastAsia="en-GB"/>
          <w14:ligatures w14:val="none"/>
        </w:rPr>
        <w:t>(</w:t>
      </w:r>
      <w:proofErr w:type="spellStart"/>
      <w:r w:rsidR="00BE3008" w:rsidRPr="00BE3008">
        <w:rPr>
          <w:rFonts w:ascii="Times New Roman" w:eastAsia="Times New Roman" w:hAnsi="Times New Roman" w:cs="Times New Roman"/>
          <w:lang w:eastAsia="en-GB"/>
          <w14:ligatures w14:val="none"/>
        </w:rPr>
        <w:t>Charyapada</w:t>
      </w:r>
      <w:proofErr w:type="spellEnd"/>
      <w:r w:rsidR="00BE3008" w:rsidRPr="00BE3008">
        <w:rPr>
          <w:rFonts w:ascii="Times New Roman" w:eastAsia="Times New Roman" w:hAnsi="Times New Roman" w:cs="Times New Roman"/>
          <w:lang w:eastAsia="en-GB"/>
          <w14:ligatures w14:val="none"/>
        </w:rPr>
        <w:t xml:space="preserve"> 19)</w:t>
      </w:r>
    </w:p>
    <w:p w14:paraId="07347AA2" w14:textId="6E88E9B5"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is attributed to Kānhapāda:</w:t>
      </w:r>
    </w:p>
    <w:p w14:paraId="035155C6"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i/>
          <w:iCs/>
          <w:color w:val="000000"/>
          <w:kern w:val="0"/>
          <w:szCs w:val="24"/>
          <w:lang w:eastAsia="en-GB"/>
          <w14:ligatures w14:val="none"/>
        </w:rPr>
        <w:t>Nāca nāca go biṭu hāmāri nācanaho;</w:t>
      </w:r>
      <w:r w:rsidRPr="000B3326">
        <w:rPr>
          <w:rFonts w:ascii="Times New Roman" w:eastAsia="Times New Roman" w:hAnsi="Times New Roman" w:cs="Times New Roman"/>
          <w:color w:val="000000"/>
          <w:kern w:val="0"/>
          <w:szCs w:val="24"/>
          <w:lang w:eastAsia="en-GB"/>
          <w14:ligatures w14:val="none"/>
        </w:rPr>
        <w:br/>
      </w:r>
      <w:r w:rsidRPr="000B3326">
        <w:rPr>
          <w:rFonts w:ascii="Times New Roman" w:eastAsia="Times New Roman" w:hAnsi="Times New Roman" w:cs="Times New Roman"/>
          <w:i/>
          <w:iCs/>
          <w:color w:val="000000"/>
          <w:kern w:val="0"/>
          <w:szCs w:val="24"/>
          <w:lang w:eastAsia="en-GB"/>
          <w14:ligatures w14:val="none"/>
        </w:rPr>
        <w:t>tava sukha-duḥkha due taji kāa mā kāmpanaho.</w:t>
      </w:r>
    </w:p>
    <w:p w14:paraId="625433E4"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Translation:</w:t>
      </w:r>
    </w:p>
    <w:p w14:paraId="53579D0D" w14:textId="77777777"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“Dance, dance, O intimate companion, dance my dance;</w:t>
      </w:r>
      <w:r w:rsidRPr="000B3326">
        <w:rPr>
          <w:rFonts w:ascii="Times New Roman" w:eastAsia="Times New Roman" w:hAnsi="Times New Roman" w:cs="Times New Roman"/>
          <w:color w:val="000000"/>
          <w:kern w:val="0"/>
          <w:szCs w:val="24"/>
          <w:lang w:eastAsia="en-GB"/>
          <w14:ligatures w14:val="none"/>
        </w:rPr>
        <w:br/>
        <w:t>abandon both your pleasure and sorrow—let not the body tremble.”</w:t>
      </w:r>
    </w:p>
    <w:p w14:paraId="2DBE1CE8"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6330E9CA" w14:textId="3AF6EBBA" w:rsidR="000B3326" w:rsidRP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The philosophical significance of this verse lies in its instruction to abandon the duality of pleasure and suffering through dance. Yet the erotic and worldly resonances of the verse cannot be ignored. This ambiguity is central to tantric poetics: the same language may signify sensuality, non-duality, ritualized desire, and contemplative transformation simultaneously.</w:t>
      </w:r>
    </w:p>
    <w:p w14:paraId="6685E410" w14:textId="77777777" w:rsidR="000B3326" w:rsidRDefault="000B3326" w:rsidP="00AF49A4">
      <w:pPr>
        <w:rPr>
          <w:rFonts w:ascii="Times New Roman" w:eastAsia="Times New Roman" w:hAnsi="Times New Roman" w:cs="Times New Roman"/>
          <w:color w:val="000000"/>
          <w:kern w:val="0"/>
          <w:szCs w:val="24"/>
          <w:lang w:eastAsia="en-GB"/>
          <w14:ligatures w14:val="none"/>
        </w:rPr>
      </w:pPr>
      <w:r w:rsidRPr="000B3326">
        <w:rPr>
          <w:rFonts w:ascii="Times New Roman" w:eastAsia="Times New Roman" w:hAnsi="Times New Roman" w:cs="Times New Roman"/>
          <w:color w:val="000000"/>
          <w:kern w:val="0"/>
          <w:szCs w:val="24"/>
          <w:lang w:eastAsia="en-GB"/>
          <w14:ligatures w14:val="none"/>
        </w:rPr>
        <w:t>Thus, the </w:t>
      </w:r>
      <w:r w:rsidRPr="000B3326">
        <w:rPr>
          <w:rFonts w:ascii="Times New Roman" w:eastAsia="Times New Roman" w:hAnsi="Times New Roman" w:cs="Times New Roman"/>
          <w:i/>
          <w:iCs/>
          <w:color w:val="000000"/>
          <w:kern w:val="0"/>
          <w:szCs w:val="24"/>
          <w:lang w:eastAsia="en-GB"/>
          <w14:ligatures w14:val="none"/>
        </w:rPr>
        <w:t>Caryāpada</w:t>
      </w:r>
      <w:r w:rsidRPr="000B3326">
        <w:rPr>
          <w:rFonts w:ascii="Times New Roman" w:eastAsia="Times New Roman" w:hAnsi="Times New Roman" w:cs="Times New Roman"/>
          <w:color w:val="000000"/>
          <w:kern w:val="0"/>
          <w:szCs w:val="24"/>
          <w:lang w:eastAsia="en-GB"/>
          <w14:ligatures w14:val="none"/>
        </w:rPr>
        <w:t> does not merely confirm the existence of dance and song in Siddha practice; it also reveals the interpretive instability of tantric language itself. Dance may be read as desire, discipline, bliss, and liberation—often at once.</w:t>
      </w:r>
    </w:p>
    <w:p w14:paraId="33F30DC2"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75F232AC" w14:textId="77777777" w:rsidR="00DD48C8" w:rsidRPr="00BE3008" w:rsidRDefault="00DD48C8" w:rsidP="00AF49A4">
      <w:pPr>
        <w:outlineLvl w:val="1"/>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8. The </w:t>
      </w:r>
      <w:r w:rsidRPr="00BE3008">
        <w:rPr>
          <w:rFonts w:ascii="Times New Roman" w:eastAsia="Times New Roman" w:hAnsi="Times New Roman" w:cs="Times New Roman"/>
          <w:b/>
          <w:bCs/>
          <w:i/>
          <w:iCs/>
          <w:color w:val="000000"/>
          <w:kern w:val="0"/>
          <w:sz w:val="28"/>
          <w:szCs w:val="28"/>
          <w:lang w:eastAsia="en-GB"/>
          <w14:ligatures w14:val="none"/>
        </w:rPr>
        <w:t>Abhidharmakośa</w:t>
      </w:r>
      <w:r w:rsidRPr="00BE3008">
        <w:rPr>
          <w:rFonts w:ascii="Times New Roman" w:eastAsia="Times New Roman" w:hAnsi="Times New Roman" w:cs="Times New Roman"/>
          <w:b/>
          <w:bCs/>
          <w:color w:val="000000"/>
          <w:kern w:val="0"/>
          <w:sz w:val="28"/>
          <w:szCs w:val="28"/>
          <w:lang w:eastAsia="en-GB"/>
          <w14:ligatures w14:val="none"/>
        </w:rPr>
        <w:t> and the Aesthetics of Bodily Movement: Toward a Possible Conceptual Bridge</w:t>
      </w:r>
    </w:p>
    <w:p w14:paraId="678ED543"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recognition of dance and song as </w:t>
      </w:r>
      <w:r w:rsidRPr="00DD48C8">
        <w:rPr>
          <w:rFonts w:ascii="Times New Roman" w:eastAsia="Times New Roman" w:hAnsi="Times New Roman" w:cs="Times New Roman"/>
          <w:i/>
          <w:iCs/>
          <w:color w:val="000000"/>
          <w:kern w:val="0"/>
          <w:szCs w:val="24"/>
          <w:lang w:eastAsia="en-GB"/>
          <w14:ligatures w14:val="none"/>
        </w:rPr>
        <w:t>bhāvanā</w:t>
      </w:r>
      <w:r w:rsidRPr="00DD48C8">
        <w:rPr>
          <w:rFonts w:ascii="Times New Roman" w:eastAsia="Times New Roman" w:hAnsi="Times New Roman" w:cs="Times New Roman"/>
          <w:color w:val="000000"/>
          <w:kern w:val="0"/>
          <w:szCs w:val="24"/>
          <w:lang w:eastAsia="en-GB"/>
          <w14:ligatures w14:val="none"/>
        </w:rPr>
        <w:t>—contemplative cultivation—in the </w:t>
      </w:r>
      <w:r w:rsidRPr="00DD48C8">
        <w:rPr>
          <w:rFonts w:ascii="Times New Roman" w:eastAsia="Times New Roman" w:hAnsi="Times New Roman" w:cs="Times New Roman"/>
          <w:i/>
          <w:iCs/>
          <w:color w:val="000000"/>
          <w:kern w:val="0"/>
          <w:szCs w:val="24"/>
          <w:lang w:eastAsia="en-GB"/>
          <w14:ligatures w14:val="none"/>
        </w:rPr>
        <w:t>Hevajratantra</w:t>
      </w:r>
      <w:r w:rsidRPr="00DD48C8">
        <w:rPr>
          <w:rFonts w:ascii="Times New Roman" w:eastAsia="Times New Roman" w:hAnsi="Times New Roman" w:cs="Times New Roman"/>
          <w:color w:val="000000"/>
          <w:kern w:val="0"/>
          <w:szCs w:val="24"/>
          <w:lang w:eastAsia="en-GB"/>
          <w14:ligatures w14:val="none"/>
        </w:rPr>
        <w:t> may be situated within a broader Buddhist analytical tradition concerning body, sense, and mind. Vasubandhu’s </w:t>
      </w:r>
      <w:r w:rsidRPr="00DD48C8">
        <w:rPr>
          <w:rFonts w:ascii="Times New Roman" w:eastAsia="Times New Roman" w:hAnsi="Times New Roman" w:cs="Times New Roman"/>
          <w:i/>
          <w:iCs/>
          <w:color w:val="000000"/>
          <w:kern w:val="0"/>
          <w:szCs w:val="24"/>
          <w:lang w:eastAsia="en-GB"/>
          <w14:ligatures w14:val="none"/>
        </w:rPr>
        <w:t>Abhidharmakośabhāṣya</w:t>
      </w:r>
      <w:r w:rsidRPr="00DD48C8">
        <w:rPr>
          <w:rFonts w:ascii="Times New Roman" w:eastAsia="Times New Roman" w:hAnsi="Times New Roman" w:cs="Times New Roman"/>
          <w:color w:val="000000"/>
          <w:kern w:val="0"/>
          <w:szCs w:val="24"/>
          <w:lang w:eastAsia="en-GB"/>
          <w14:ligatures w14:val="none"/>
        </w:rPr>
        <w:t>, composed around the fourth or fifth century CE, offers a systematic analysis of consciousness, sensory experience, mental factors, and bodily action. Although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is not an aesthetic treatise, its conceptual vocabulary provides a useful framework for interpreting later Buddhist tantric approaches to embodied experience.</w:t>
      </w:r>
    </w:p>
    <w:p w14:paraId="6D985104"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following discussion does not claim direct textual influence from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upon the </w:t>
      </w:r>
      <w:r w:rsidRPr="00DD48C8">
        <w:rPr>
          <w:rFonts w:ascii="Times New Roman" w:eastAsia="Times New Roman" w:hAnsi="Times New Roman" w:cs="Times New Roman"/>
          <w:i/>
          <w:iCs/>
          <w:color w:val="000000"/>
          <w:kern w:val="0"/>
          <w:szCs w:val="24"/>
          <w:lang w:eastAsia="en-GB"/>
          <w14:ligatures w14:val="none"/>
        </w:rPr>
        <w:t>Hevajratantra</w:t>
      </w:r>
      <w:r w:rsidRPr="00DD48C8">
        <w:rPr>
          <w:rFonts w:ascii="Times New Roman" w:eastAsia="Times New Roman" w:hAnsi="Times New Roman" w:cs="Times New Roman"/>
          <w:color w:val="000000"/>
          <w:kern w:val="0"/>
          <w:szCs w:val="24"/>
          <w:lang w:eastAsia="en-GB"/>
          <w14:ligatures w14:val="none"/>
        </w:rPr>
        <w:t>. Rather, it identifies conceptual resonances between two Buddhist intellectual formations: one analytical and scholastic, the other ritual and tantric.</w:t>
      </w:r>
    </w:p>
    <w:p w14:paraId="0768F2F4" w14:textId="2CC2E916" w:rsidR="00DD48C8" w:rsidRPr="00DD48C8" w:rsidRDefault="00DD48C8" w:rsidP="00AF49A4">
      <w:pPr>
        <w:rPr>
          <w:rFonts w:ascii="Times New Roman" w:eastAsia="Times New Roman" w:hAnsi="Times New Roman" w:cs="Times New Roman"/>
          <w:kern w:val="0"/>
          <w:szCs w:val="24"/>
          <w:lang w:eastAsia="en-GB"/>
          <w14:ligatures w14:val="none"/>
        </w:rPr>
      </w:pPr>
    </w:p>
    <w:p w14:paraId="603D2EB7" w14:textId="77777777" w:rsidR="00DD48C8" w:rsidRPr="00DD48C8" w:rsidRDefault="00DD48C8" w:rsidP="00AF49A4">
      <w:pPr>
        <w:outlineLvl w:val="2"/>
        <w:rPr>
          <w:rFonts w:ascii="Times New Roman" w:eastAsia="Times New Roman" w:hAnsi="Times New Roman" w:cs="Times New Roman"/>
          <w:b/>
          <w:bCs/>
          <w:color w:val="000000"/>
          <w:kern w:val="0"/>
          <w:sz w:val="27"/>
          <w:szCs w:val="27"/>
          <w:lang w:eastAsia="en-GB"/>
          <w14:ligatures w14:val="none"/>
        </w:rPr>
      </w:pPr>
      <w:r w:rsidRPr="00DD48C8">
        <w:rPr>
          <w:rFonts w:ascii="Times New Roman" w:eastAsia="Times New Roman" w:hAnsi="Times New Roman" w:cs="Times New Roman"/>
          <w:b/>
          <w:bCs/>
          <w:color w:val="000000"/>
          <w:kern w:val="0"/>
          <w:sz w:val="27"/>
          <w:szCs w:val="27"/>
          <w:lang w:eastAsia="en-GB"/>
          <w14:ligatures w14:val="none"/>
        </w:rPr>
        <w:t>8.1 </w:t>
      </w:r>
      <w:r w:rsidRPr="00DD48C8">
        <w:rPr>
          <w:rFonts w:ascii="Times New Roman" w:eastAsia="Times New Roman" w:hAnsi="Times New Roman" w:cs="Times New Roman"/>
          <w:b/>
          <w:bCs/>
          <w:i/>
          <w:iCs/>
          <w:color w:val="000000"/>
          <w:kern w:val="0"/>
          <w:sz w:val="27"/>
          <w:szCs w:val="27"/>
          <w:lang w:eastAsia="en-GB"/>
          <w14:ligatures w14:val="none"/>
        </w:rPr>
        <w:t>Manopavicāra</w:t>
      </w:r>
      <w:r w:rsidRPr="00DD48C8">
        <w:rPr>
          <w:rFonts w:ascii="Times New Roman" w:eastAsia="Times New Roman" w:hAnsi="Times New Roman" w:cs="Times New Roman"/>
          <w:b/>
          <w:bCs/>
          <w:color w:val="000000"/>
          <w:kern w:val="0"/>
          <w:sz w:val="27"/>
          <w:szCs w:val="27"/>
          <w:lang w:eastAsia="en-GB"/>
          <w14:ligatures w14:val="none"/>
        </w:rPr>
        <w:t>: Mental Movement and the Ground of Aesthetic Experience</w:t>
      </w:r>
    </w:p>
    <w:p w14:paraId="2636058A"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the third chapter of the </w:t>
      </w:r>
      <w:r w:rsidRPr="00DD48C8">
        <w:rPr>
          <w:rFonts w:ascii="Times New Roman" w:eastAsia="Times New Roman" w:hAnsi="Times New Roman" w:cs="Times New Roman"/>
          <w:i/>
          <w:iCs/>
          <w:color w:val="000000"/>
          <w:kern w:val="0"/>
          <w:szCs w:val="24"/>
          <w:lang w:eastAsia="en-GB"/>
          <w14:ligatures w14:val="none"/>
        </w:rPr>
        <w:t>Abhidharmakośabhāṣya</w:t>
      </w:r>
      <w:r w:rsidRPr="00DD48C8">
        <w:rPr>
          <w:rFonts w:ascii="Times New Roman" w:eastAsia="Times New Roman" w:hAnsi="Times New Roman" w:cs="Times New Roman"/>
          <w:color w:val="000000"/>
          <w:kern w:val="0"/>
          <w:szCs w:val="24"/>
          <w:lang w:eastAsia="en-GB"/>
          <w14:ligatures w14:val="none"/>
        </w:rPr>
        <w:t>, Vasubandhu discusses </w:t>
      </w:r>
      <w:r w:rsidRPr="00DD48C8">
        <w:rPr>
          <w:rFonts w:ascii="Times New Roman" w:eastAsia="Times New Roman" w:hAnsi="Times New Roman" w:cs="Times New Roman"/>
          <w:i/>
          <w:iCs/>
          <w:color w:val="000000"/>
          <w:kern w:val="0"/>
          <w:szCs w:val="24"/>
          <w:lang w:eastAsia="en-GB"/>
          <w14:ligatures w14:val="none"/>
        </w:rPr>
        <w:t>manopavicāra</w:t>
      </w:r>
      <w:r w:rsidRPr="00DD48C8">
        <w:rPr>
          <w:rFonts w:ascii="Times New Roman" w:eastAsia="Times New Roman" w:hAnsi="Times New Roman" w:cs="Times New Roman"/>
          <w:color w:val="000000"/>
          <w:kern w:val="0"/>
          <w:szCs w:val="24"/>
          <w:lang w:eastAsia="en-GB"/>
          <w14:ligatures w14:val="none"/>
        </w:rPr>
        <w:t>—the movements or excursions of the mind—in relation to dependent origination. Feeling (</w:t>
      </w:r>
      <w:r w:rsidRPr="00DD48C8">
        <w:rPr>
          <w:rFonts w:ascii="Times New Roman" w:eastAsia="Times New Roman" w:hAnsi="Times New Roman" w:cs="Times New Roman"/>
          <w:i/>
          <w:iCs/>
          <w:color w:val="000000"/>
          <w:kern w:val="0"/>
          <w:szCs w:val="24"/>
          <w:lang w:eastAsia="en-GB"/>
          <w14:ligatures w14:val="none"/>
        </w:rPr>
        <w:t>vedanā</w:t>
      </w:r>
      <w:r w:rsidRPr="00DD48C8">
        <w:rPr>
          <w:rFonts w:ascii="Times New Roman" w:eastAsia="Times New Roman" w:hAnsi="Times New Roman" w:cs="Times New Roman"/>
          <w:color w:val="000000"/>
          <w:kern w:val="0"/>
          <w:szCs w:val="24"/>
          <w:lang w:eastAsia="en-GB"/>
          <w14:ligatures w14:val="none"/>
        </w:rPr>
        <w:t>) is generally divided into bodily feeling and mental feeling. Mental feeling is further articulated through eighteen forms of </w:t>
      </w:r>
      <w:r w:rsidRPr="00DD48C8">
        <w:rPr>
          <w:rFonts w:ascii="Times New Roman" w:eastAsia="Times New Roman" w:hAnsi="Times New Roman" w:cs="Times New Roman"/>
          <w:i/>
          <w:iCs/>
          <w:color w:val="000000"/>
          <w:kern w:val="0"/>
          <w:szCs w:val="24"/>
          <w:lang w:eastAsia="en-GB"/>
          <w14:ligatures w14:val="none"/>
        </w:rPr>
        <w:t>manopavicāra</w:t>
      </w:r>
      <w:r w:rsidRPr="00DD48C8">
        <w:rPr>
          <w:rFonts w:ascii="Times New Roman" w:eastAsia="Times New Roman" w:hAnsi="Times New Roman" w:cs="Times New Roman"/>
          <w:color w:val="000000"/>
          <w:kern w:val="0"/>
          <w:szCs w:val="24"/>
          <w:lang w:eastAsia="en-GB"/>
          <w14:ligatures w14:val="none"/>
        </w:rPr>
        <w:t>.</w:t>
      </w:r>
    </w:p>
    <w:p w14:paraId="7BA4A5F7"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017F378F" w14:textId="68AE23EA"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These consist of three basic affective orientations:</w:t>
      </w:r>
    </w:p>
    <w:p w14:paraId="088313D0" w14:textId="77777777" w:rsidR="00DD48C8" w:rsidRPr="00DD48C8" w:rsidRDefault="00DD48C8" w:rsidP="00AF49A4">
      <w:pPr>
        <w:numPr>
          <w:ilvl w:val="0"/>
          <w:numId w:val="6"/>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somanassa</w:t>
      </w:r>
      <w:r w:rsidRPr="00DD48C8">
        <w:rPr>
          <w:rFonts w:ascii="Times New Roman" w:eastAsia="Times New Roman" w:hAnsi="Times New Roman" w:cs="Times New Roman"/>
          <w:color w:val="000000"/>
          <w:kern w:val="0"/>
          <w:szCs w:val="24"/>
          <w:lang w:eastAsia="en-GB"/>
          <w14:ligatures w14:val="none"/>
        </w:rPr>
        <w:t> — satisfaction, pleasure, or gladness;</w:t>
      </w:r>
    </w:p>
    <w:p w14:paraId="279BC225" w14:textId="77777777" w:rsidR="00DD48C8" w:rsidRPr="00DD48C8" w:rsidRDefault="00DD48C8" w:rsidP="00AF49A4">
      <w:pPr>
        <w:numPr>
          <w:ilvl w:val="0"/>
          <w:numId w:val="6"/>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domanassa</w:t>
      </w:r>
      <w:r w:rsidRPr="00DD48C8">
        <w:rPr>
          <w:rFonts w:ascii="Times New Roman" w:eastAsia="Times New Roman" w:hAnsi="Times New Roman" w:cs="Times New Roman"/>
          <w:color w:val="000000"/>
          <w:kern w:val="0"/>
          <w:szCs w:val="24"/>
          <w:lang w:eastAsia="en-GB"/>
          <w14:ligatures w14:val="none"/>
        </w:rPr>
        <w:t> — dissatisfaction or displeasure;</w:t>
      </w:r>
    </w:p>
    <w:p w14:paraId="1D73D189" w14:textId="77777777" w:rsidR="00DD48C8" w:rsidRPr="00DD48C8" w:rsidRDefault="00DD48C8" w:rsidP="00AF49A4">
      <w:pPr>
        <w:numPr>
          <w:ilvl w:val="0"/>
          <w:numId w:val="6"/>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upekṣā</w:t>
      </w:r>
      <w:r w:rsidRPr="00DD48C8">
        <w:rPr>
          <w:rFonts w:ascii="Times New Roman" w:eastAsia="Times New Roman" w:hAnsi="Times New Roman" w:cs="Times New Roman"/>
          <w:color w:val="000000"/>
          <w:kern w:val="0"/>
          <w:szCs w:val="24"/>
          <w:lang w:eastAsia="en-GB"/>
          <w14:ligatures w14:val="none"/>
        </w:rPr>
        <w:t> — equanimity, neither pleasure nor displeasure.</w:t>
      </w:r>
    </w:p>
    <w:p w14:paraId="7F3A268E" w14:textId="77777777" w:rsid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When the mind turns toward objects through the six sense faculties—eye, ear, nose, tongue, body, and mind—one of these three orientations arises. Thus, in the desire realm (</w:t>
      </w:r>
      <w:r w:rsidRPr="00DD48C8">
        <w:rPr>
          <w:rFonts w:ascii="Times New Roman" w:eastAsia="Times New Roman" w:hAnsi="Times New Roman" w:cs="Times New Roman"/>
          <w:i/>
          <w:iCs/>
          <w:color w:val="000000"/>
          <w:kern w:val="0"/>
          <w:szCs w:val="24"/>
          <w:lang w:eastAsia="en-GB"/>
          <w14:ligatures w14:val="none"/>
        </w:rPr>
        <w:t>kāmadhātu</w:t>
      </w:r>
      <w:r w:rsidRPr="00DD48C8">
        <w:rPr>
          <w:rFonts w:ascii="Times New Roman" w:eastAsia="Times New Roman" w:hAnsi="Times New Roman" w:cs="Times New Roman"/>
          <w:color w:val="000000"/>
          <w:kern w:val="0"/>
          <w:szCs w:val="24"/>
          <w:lang w:eastAsia="en-GB"/>
          <w14:ligatures w14:val="none"/>
        </w:rPr>
        <w:t>), six sense-objects multiplied by three affective dispositions produce eighteen forms of mental movement.</w:t>
      </w:r>
    </w:p>
    <w:p w14:paraId="249C9551" w14:textId="77777777" w:rsidR="00BE3008" w:rsidRPr="00DD48C8" w:rsidRDefault="00BE3008" w:rsidP="00AF49A4">
      <w:pPr>
        <w:rPr>
          <w:rFonts w:ascii="Times New Roman" w:eastAsia="Times New Roman" w:hAnsi="Times New Roman" w:cs="Times New Roman"/>
          <w:color w:val="000000"/>
          <w:kern w:val="0"/>
          <w:szCs w:val="24"/>
          <w:lang w:eastAsia="en-GB"/>
          <w14:ligatures w14:val="none"/>
        </w:rPr>
      </w:pPr>
    </w:p>
    <w:p w14:paraId="74E61D77" w14:textId="77777777" w:rsid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This framework may illuminate tantric dance. When the yogī experiences form (</w:t>
      </w:r>
      <w:r w:rsidRPr="00DD48C8">
        <w:rPr>
          <w:rFonts w:ascii="Times New Roman" w:eastAsia="Times New Roman" w:hAnsi="Times New Roman" w:cs="Times New Roman"/>
          <w:i/>
          <w:iCs/>
          <w:color w:val="000000"/>
          <w:kern w:val="0"/>
          <w:szCs w:val="24"/>
          <w:lang w:eastAsia="en-GB"/>
          <w14:ligatures w14:val="none"/>
        </w:rPr>
        <w:t>rūpa</w:t>
      </w:r>
      <w:r w:rsidRPr="00DD48C8">
        <w:rPr>
          <w:rFonts w:ascii="Times New Roman" w:eastAsia="Times New Roman" w:hAnsi="Times New Roman" w:cs="Times New Roman"/>
          <w:color w:val="000000"/>
          <w:kern w:val="0"/>
          <w:szCs w:val="24"/>
          <w:lang w:eastAsia="en-GB"/>
          <w14:ligatures w14:val="none"/>
        </w:rPr>
        <w:t>) or sound (</w:t>
      </w:r>
      <w:r w:rsidRPr="00DD48C8">
        <w:rPr>
          <w:rFonts w:ascii="Times New Roman" w:eastAsia="Times New Roman" w:hAnsi="Times New Roman" w:cs="Times New Roman"/>
          <w:i/>
          <w:iCs/>
          <w:color w:val="000000"/>
          <w:kern w:val="0"/>
          <w:szCs w:val="24"/>
          <w:lang w:eastAsia="en-GB"/>
          <w14:ligatures w14:val="none"/>
        </w:rPr>
        <w:t>śabda</w:t>
      </w:r>
      <w:r w:rsidRPr="00DD48C8">
        <w:rPr>
          <w:rFonts w:ascii="Times New Roman" w:eastAsia="Times New Roman" w:hAnsi="Times New Roman" w:cs="Times New Roman"/>
          <w:color w:val="000000"/>
          <w:kern w:val="0"/>
          <w:szCs w:val="24"/>
          <w:lang w:eastAsia="en-GB"/>
          <w14:ligatures w14:val="none"/>
        </w:rPr>
        <w:t xml:space="preserve">) during ritual movement, such experience naturally gives rise to pleasure, displeasure, or neutrality. The ordinary person becomes bound through these affective reactions. The tantric practitioner, however, may learn to observe these mental movements, </w:t>
      </w:r>
      <w:r w:rsidRPr="00DD48C8">
        <w:rPr>
          <w:rFonts w:ascii="Times New Roman" w:eastAsia="Times New Roman" w:hAnsi="Times New Roman" w:cs="Times New Roman"/>
          <w:color w:val="000000"/>
          <w:kern w:val="0"/>
          <w:szCs w:val="24"/>
          <w:lang w:eastAsia="en-GB"/>
          <w14:ligatures w14:val="none"/>
        </w:rPr>
        <w:lastRenderedPageBreak/>
        <w:t>recognize both pleasure and displeasure as conditioned phenomena, and ritually transform them into </w:t>
      </w:r>
      <w:r w:rsidRPr="00DD48C8">
        <w:rPr>
          <w:rFonts w:ascii="Times New Roman" w:eastAsia="Times New Roman" w:hAnsi="Times New Roman" w:cs="Times New Roman"/>
          <w:i/>
          <w:iCs/>
          <w:color w:val="000000"/>
          <w:kern w:val="0"/>
          <w:szCs w:val="24"/>
          <w:lang w:eastAsia="en-GB"/>
          <w14:ligatures w14:val="none"/>
        </w:rPr>
        <w:t>mahāsukha</w:t>
      </w:r>
      <w:r w:rsidRPr="00DD48C8">
        <w:rPr>
          <w:rFonts w:ascii="Times New Roman" w:eastAsia="Times New Roman" w:hAnsi="Times New Roman" w:cs="Times New Roman"/>
          <w:color w:val="000000"/>
          <w:kern w:val="0"/>
          <w:szCs w:val="24"/>
          <w:lang w:eastAsia="en-GB"/>
          <w14:ligatures w14:val="none"/>
        </w:rPr>
        <w:t>.</w:t>
      </w:r>
    </w:p>
    <w:p w14:paraId="29524EEA" w14:textId="77777777" w:rsidR="00BE3008" w:rsidRPr="00DD48C8" w:rsidRDefault="00BE3008" w:rsidP="00AF49A4">
      <w:pPr>
        <w:rPr>
          <w:rFonts w:ascii="Times New Roman" w:eastAsia="Times New Roman" w:hAnsi="Times New Roman" w:cs="Times New Roman"/>
          <w:color w:val="000000"/>
          <w:kern w:val="0"/>
          <w:szCs w:val="24"/>
          <w:lang w:eastAsia="en-GB"/>
          <w14:ligatures w14:val="none"/>
        </w:rPr>
      </w:pPr>
    </w:p>
    <w:p w14:paraId="3B055AD6"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this sense,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allows tantric dance to be understood not merely as a vehicle of ecstasy, but as a laboratory of mental observation.</w:t>
      </w:r>
    </w:p>
    <w:p w14:paraId="577AA047" w14:textId="35EEFF3F" w:rsidR="00DD48C8" w:rsidRPr="00DD48C8" w:rsidRDefault="00DD48C8" w:rsidP="00AF49A4">
      <w:pPr>
        <w:rPr>
          <w:rFonts w:ascii="Times New Roman" w:eastAsia="Times New Roman" w:hAnsi="Times New Roman" w:cs="Times New Roman"/>
          <w:kern w:val="0"/>
          <w:szCs w:val="24"/>
          <w:lang w:eastAsia="en-GB"/>
          <w14:ligatures w14:val="none"/>
        </w:rPr>
      </w:pPr>
    </w:p>
    <w:p w14:paraId="1663AA26" w14:textId="77777777" w:rsidR="00DD48C8" w:rsidRPr="00BE3008" w:rsidRDefault="00DD48C8" w:rsidP="00AF49A4">
      <w:pPr>
        <w:outlineLvl w:val="2"/>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8.2 </w:t>
      </w:r>
      <w:r w:rsidRPr="00BE3008">
        <w:rPr>
          <w:rFonts w:ascii="Times New Roman" w:eastAsia="Times New Roman" w:hAnsi="Times New Roman" w:cs="Times New Roman"/>
          <w:b/>
          <w:bCs/>
          <w:i/>
          <w:iCs/>
          <w:color w:val="000000"/>
          <w:kern w:val="0"/>
          <w:sz w:val="28"/>
          <w:szCs w:val="28"/>
          <w:lang w:eastAsia="en-GB"/>
          <w14:ligatures w14:val="none"/>
        </w:rPr>
        <w:t>Citta</w:t>
      </w:r>
      <w:r w:rsidRPr="00BE3008">
        <w:rPr>
          <w:rFonts w:ascii="Times New Roman" w:eastAsia="Times New Roman" w:hAnsi="Times New Roman" w:cs="Times New Roman"/>
          <w:b/>
          <w:bCs/>
          <w:color w:val="000000"/>
          <w:kern w:val="0"/>
          <w:sz w:val="28"/>
          <w:szCs w:val="28"/>
          <w:lang w:eastAsia="en-GB"/>
          <w14:ligatures w14:val="none"/>
        </w:rPr>
        <w:t> and </w:t>
      </w:r>
      <w:r w:rsidRPr="00BE3008">
        <w:rPr>
          <w:rFonts w:ascii="Times New Roman" w:eastAsia="Times New Roman" w:hAnsi="Times New Roman" w:cs="Times New Roman"/>
          <w:b/>
          <w:bCs/>
          <w:i/>
          <w:iCs/>
          <w:color w:val="000000"/>
          <w:kern w:val="0"/>
          <w:sz w:val="28"/>
          <w:szCs w:val="28"/>
          <w:lang w:eastAsia="en-GB"/>
          <w14:ligatures w14:val="none"/>
        </w:rPr>
        <w:t>Caitta</w:t>
      </w:r>
      <w:r w:rsidRPr="00BE3008">
        <w:rPr>
          <w:rFonts w:ascii="Times New Roman" w:eastAsia="Times New Roman" w:hAnsi="Times New Roman" w:cs="Times New Roman"/>
          <w:b/>
          <w:bCs/>
          <w:color w:val="000000"/>
          <w:kern w:val="0"/>
          <w:sz w:val="28"/>
          <w:szCs w:val="28"/>
          <w:lang w:eastAsia="en-GB"/>
          <w14:ligatures w14:val="none"/>
        </w:rPr>
        <w:t>: An Analysis of the Components of Embodied Movement</w:t>
      </w:r>
    </w:p>
    <w:p w14:paraId="08832BEE"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According to Abhidharma psychology, consciousness consists of </w:t>
      </w:r>
      <w:r w:rsidRPr="00DD48C8">
        <w:rPr>
          <w:rFonts w:ascii="Times New Roman" w:eastAsia="Times New Roman" w:hAnsi="Times New Roman" w:cs="Times New Roman"/>
          <w:i/>
          <w:iCs/>
          <w:color w:val="000000"/>
          <w:kern w:val="0"/>
          <w:szCs w:val="24"/>
          <w:lang w:eastAsia="en-GB"/>
          <w14:ligatures w14:val="none"/>
        </w:rPr>
        <w:t>citta</w:t>
      </w:r>
      <w:r w:rsidRPr="00DD48C8">
        <w:rPr>
          <w:rFonts w:ascii="Times New Roman" w:eastAsia="Times New Roman" w:hAnsi="Times New Roman" w:cs="Times New Roman"/>
          <w:color w:val="000000"/>
          <w:kern w:val="0"/>
          <w:szCs w:val="24"/>
          <w:lang w:eastAsia="en-GB"/>
          <w14:ligatures w14:val="none"/>
        </w:rPr>
        <w:t>—primary awareness—and associated mental factors known as </w:t>
      </w:r>
      <w:r w:rsidRPr="00DD48C8">
        <w:rPr>
          <w:rFonts w:ascii="Times New Roman" w:eastAsia="Times New Roman" w:hAnsi="Times New Roman" w:cs="Times New Roman"/>
          <w:i/>
          <w:iCs/>
          <w:color w:val="000000"/>
          <w:kern w:val="0"/>
          <w:szCs w:val="24"/>
          <w:lang w:eastAsia="en-GB"/>
          <w14:ligatures w14:val="none"/>
        </w:rPr>
        <w:t>caittas</w:t>
      </w:r>
      <w:r w:rsidRPr="00DD48C8">
        <w:rPr>
          <w:rFonts w:ascii="Times New Roman" w:eastAsia="Times New Roman" w:hAnsi="Times New Roman" w:cs="Times New Roman"/>
          <w:color w:val="000000"/>
          <w:kern w:val="0"/>
          <w:szCs w:val="24"/>
          <w:lang w:eastAsia="en-GB"/>
          <w14:ligatures w14:val="none"/>
        </w:rPr>
        <w:t>. Among the important </w:t>
      </w:r>
      <w:r w:rsidRPr="00DD48C8">
        <w:rPr>
          <w:rFonts w:ascii="Times New Roman" w:eastAsia="Times New Roman" w:hAnsi="Times New Roman" w:cs="Times New Roman"/>
          <w:i/>
          <w:iCs/>
          <w:color w:val="000000"/>
          <w:kern w:val="0"/>
          <w:szCs w:val="24"/>
          <w:lang w:eastAsia="en-GB"/>
          <w14:ligatures w14:val="none"/>
        </w:rPr>
        <w:t>caittas</w:t>
      </w:r>
      <w:r w:rsidRPr="00DD48C8">
        <w:rPr>
          <w:rFonts w:ascii="Times New Roman" w:eastAsia="Times New Roman" w:hAnsi="Times New Roman" w:cs="Times New Roman"/>
          <w:color w:val="000000"/>
          <w:kern w:val="0"/>
          <w:szCs w:val="24"/>
          <w:lang w:eastAsia="en-GB"/>
          <w14:ligatures w14:val="none"/>
        </w:rPr>
        <w:t> are:</w:t>
      </w:r>
    </w:p>
    <w:p w14:paraId="2B38FED0" w14:textId="77777777" w:rsidR="00DD48C8" w:rsidRPr="00DD48C8" w:rsidRDefault="00DD48C8" w:rsidP="00AF49A4">
      <w:pPr>
        <w:numPr>
          <w:ilvl w:val="0"/>
          <w:numId w:val="7"/>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sparśa</w:t>
      </w:r>
      <w:r w:rsidRPr="00DD48C8">
        <w:rPr>
          <w:rFonts w:ascii="Times New Roman" w:eastAsia="Times New Roman" w:hAnsi="Times New Roman" w:cs="Times New Roman"/>
          <w:color w:val="000000"/>
          <w:kern w:val="0"/>
          <w:szCs w:val="24"/>
          <w:lang w:eastAsia="en-GB"/>
          <w14:ligatures w14:val="none"/>
        </w:rPr>
        <w:t> — contact, the conjunction of sense faculty, object, and consciousness;</w:t>
      </w:r>
    </w:p>
    <w:p w14:paraId="449431A0" w14:textId="77777777" w:rsidR="00DD48C8" w:rsidRPr="00DD48C8" w:rsidRDefault="00DD48C8" w:rsidP="00AF49A4">
      <w:pPr>
        <w:numPr>
          <w:ilvl w:val="0"/>
          <w:numId w:val="7"/>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vedanā</w:t>
      </w:r>
      <w:r w:rsidRPr="00DD48C8">
        <w:rPr>
          <w:rFonts w:ascii="Times New Roman" w:eastAsia="Times New Roman" w:hAnsi="Times New Roman" w:cs="Times New Roman"/>
          <w:color w:val="000000"/>
          <w:kern w:val="0"/>
          <w:szCs w:val="24"/>
          <w:lang w:eastAsia="en-GB"/>
          <w14:ligatures w14:val="none"/>
        </w:rPr>
        <w:t> — feeling, whether pleasant, unpleasant, or neutral;</w:t>
      </w:r>
    </w:p>
    <w:p w14:paraId="0440AC95" w14:textId="77777777" w:rsidR="00DD48C8" w:rsidRPr="00DD48C8" w:rsidRDefault="00DD48C8" w:rsidP="00AF49A4">
      <w:pPr>
        <w:numPr>
          <w:ilvl w:val="0"/>
          <w:numId w:val="7"/>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cetanā</w:t>
      </w:r>
      <w:r w:rsidRPr="00DD48C8">
        <w:rPr>
          <w:rFonts w:ascii="Times New Roman" w:eastAsia="Times New Roman" w:hAnsi="Times New Roman" w:cs="Times New Roman"/>
          <w:color w:val="000000"/>
          <w:kern w:val="0"/>
          <w:szCs w:val="24"/>
          <w:lang w:eastAsia="en-GB"/>
          <w14:ligatures w14:val="none"/>
        </w:rPr>
        <w:t> — intention or volition;</w:t>
      </w:r>
    </w:p>
    <w:p w14:paraId="4029815B" w14:textId="77777777" w:rsidR="00DD48C8" w:rsidRPr="00DD48C8" w:rsidRDefault="00DD48C8" w:rsidP="00AF49A4">
      <w:pPr>
        <w:numPr>
          <w:ilvl w:val="0"/>
          <w:numId w:val="7"/>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manaskāra</w:t>
      </w:r>
      <w:r w:rsidRPr="00DD48C8">
        <w:rPr>
          <w:rFonts w:ascii="Times New Roman" w:eastAsia="Times New Roman" w:hAnsi="Times New Roman" w:cs="Times New Roman"/>
          <w:color w:val="000000"/>
          <w:kern w:val="0"/>
          <w:szCs w:val="24"/>
          <w:lang w:eastAsia="en-GB"/>
          <w14:ligatures w14:val="none"/>
        </w:rPr>
        <w:t> — attention or mental orientation toward an object.</w:t>
      </w:r>
    </w:p>
    <w:p w14:paraId="700D6EBA"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135466DD" w14:textId="240507EA"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Each mental factor performs a specific function and shapes the quality of experience.</w:t>
      </w:r>
    </w:p>
    <w:p w14:paraId="27FAE7DB" w14:textId="6948AC40" w:rsid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the context of the </w:t>
      </w:r>
      <w:r w:rsidRPr="00DD48C8">
        <w:rPr>
          <w:rFonts w:ascii="Times New Roman" w:eastAsia="Times New Roman" w:hAnsi="Times New Roman" w:cs="Times New Roman"/>
          <w:i/>
          <w:iCs/>
          <w:color w:val="000000"/>
          <w:kern w:val="0"/>
          <w:szCs w:val="24"/>
          <w:lang w:eastAsia="en-GB"/>
          <w14:ligatures w14:val="none"/>
        </w:rPr>
        <w:t>Hevajratantra</w:t>
      </w:r>
      <w:r w:rsidRPr="00DD48C8">
        <w:rPr>
          <w:rFonts w:ascii="Times New Roman" w:eastAsia="Times New Roman" w:hAnsi="Times New Roman" w:cs="Times New Roman"/>
          <w:color w:val="000000"/>
          <w:kern w:val="0"/>
          <w:szCs w:val="24"/>
          <w:lang w:eastAsia="en-GB"/>
          <w14:ligatures w14:val="none"/>
        </w:rPr>
        <w:t>, each bodily vibration or gesture in dance produces </w:t>
      </w:r>
      <w:r w:rsidRPr="00DD48C8">
        <w:rPr>
          <w:rFonts w:ascii="Times New Roman" w:eastAsia="Times New Roman" w:hAnsi="Times New Roman" w:cs="Times New Roman"/>
          <w:i/>
          <w:iCs/>
          <w:color w:val="000000"/>
          <w:kern w:val="0"/>
          <w:szCs w:val="24"/>
          <w:lang w:eastAsia="en-GB"/>
          <w14:ligatures w14:val="none"/>
        </w:rPr>
        <w:t>sparśa</w:t>
      </w:r>
      <w:r w:rsidRPr="00DD48C8">
        <w:rPr>
          <w:rFonts w:ascii="Times New Roman" w:eastAsia="Times New Roman" w:hAnsi="Times New Roman" w:cs="Times New Roman"/>
          <w:color w:val="000000"/>
          <w:kern w:val="0"/>
          <w:szCs w:val="24"/>
          <w:lang w:eastAsia="en-GB"/>
          <w14:ligatures w14:val="none"/>
        </w:rPr>
        <w:t>, from which </w:t>
      </w:r>
      <w:r w:rsidRPr="00DD48C8">
        <w:rPr>
          <w:rFonts w:ascii="Times New Roman" w:eastAsia="Times New Roman" w:hAnsi="Times New Roman" w:cs="Times New Roman"/>
          <w:i/>
          <w:iCs/>
          <w:color w:val="000000"/>
          <w:kern w:val="0"/>
          <w:szCs w:val="24"/>
          <w:lang w:eastAsia="en-GB"/>
          <w14:ligatures w14:val="none"/>
        </w:rPr>
        <w:t>vedanā</w:t>
      </w:r>
      <w:r w:rsidRPr="00DD48C8">
        <w:rPr>
          <w:rFonts w:ascii="Times New Roman" w:eastAsia="Times New Roman" w:hAnsi="Times New Roman" w:cs="Times New Roman"/>
          <w:color w:val="000000"/>
          <w:kern w:val="0"/>
          <w:szCs w:val="24"/>
          <w:lang w:eastAsia="en-GB"/>
          <w14:ligatures w14:val="none"/>
        </w:rPr>
        <w:t> arises. Yet tantric practice does not allow feeling to proceed automatically into craving. Instead, feeling is redirected through </w:t>
      </w:r>
      <w:r w:rsidRPr="00DD48C8">
        <w:rPr>
          <w:rFonts w:ascii="Times New Roman" w:eastAsia="Times New Roman" w:hAnsi="Times New Roman" w:cs="Times New Roman"/>
          <w:i/>
          <w:iCs/>
          <w:color w:val="000000"/>
          <w:kern w:val="0"/>
          <w:szCs w:val="24"/>
          <w:lang w:eastAsia="en-GB"/>
          <w14:ligatures w14:val="none"/>
        </w:rPr>
        <w:t>cetanā</w:t>
      </w:r>
      <w:r w:rsidRPr="00DD48C8">
        <w:rPr>
          <w:rFonts w:ascii="Times New Roman" w:eastAsia="Times New Roman" w:hAnsi="Times New Roman" w:cs="Times New Roman"/>
          <w:color w:val="000000"/>
          <w:kern w:val="0"/>
          <w:szCs w:val="24"/>
          <w:lang w:eastAsia="en-GB"/>
          <w14:ligatures w14:val="none"/>
        </w:rPr>
        <w:t>—ritual intention.</w:t>
      </w:r>
    </w:p>
    <w:p w14:paraId="7E2CFDB6" w14:textId="77777777" w:rsidR="00BE3008" w:rsidRPr="00DD48C8" w:rsidRDefault="00BE3008" w:rsidP="00AF49A4">
      <w:pPr>
        <w:rPr>
          <w:rFonts w:ascii="Times New Roman" w:eastAsia="Times New Roman" w:hAnsi="Times New Roman" w:cs="Times New Roman"/>
          <w:color w:val="000000"/>
          <w:kern w:val="0"/>
          <w:szCs w:val="24"/>
          <w:lang w:eastAsia="en-GB"/>
          <w14:ligatures w14:val="none"/>
        </w:rPr>
      </w:pPr>
    </w:p>
    <w:p w14:paraId="5F9D7F8B"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practitioner does not merely think, “I am dancing.” Rather, through deity-yoga and mantra-purification, the practitioner may experience the movement as the dance of the deity. </w:t>
      </w:r>
      <w:r w:rsidRPr="00DD48C8">
        <w:rPr>
          <w:rFonts w:ascii="Times New Roman" w:eastAsia="Times New Roman" w:hAnsi="Times New Roman" w:cs="Times New Roman"/>
          <w:i/>
          <w:iCs/>
          <w:color w:val="000000"/>
          <w:kern w:val="0"/>
          <w:szCs w:val="24"/>
          <w:lang w:eastAsia="en-GB"/>
          <w14:ligatures w14:val="none"/>
        </w:rPr>
        <w:t>Manaskāra</w:t>
      </w:r>
      <w:r w:rsidRPr="00DD48C8">
        <w:rPr>
          <w:rFonts w:ascii="Times New Roman" w:eastAsia="Times New Roman" w:hAnsi="Times New Roman" w:cs="Times New Roman"/>
          <w:color w:val="000000"/>
          <w:kern w:val="0"/>
          <w:szCs w:val="24"/>
          <w:lang w:eastAsia="en-GB"/>
          <w14:ligatures w14:val="none"/>
        </w:rPr>
        <w:t> then becomes crucial: the mind is intentionally directed toward gesture, rhythm, mantra, visualization, and embodied awareness.</w:t>
      </w:r>
    </w:p>
    <w:p w14:paraId="7DF251B1" w14:textId="77777777" w:rsidR="00BE3008" w:rsidRDefault="00BE3008" w:rsidP="00AF49A4">
      <w:pPr>
        <w:rPr>
          <w:rFonts w:ascii="Times New Roman" w:eastAsia="Times New Roman" w:hAnsi="Times New Roman" w:cs="Times New Roman"/>
          <w:color w:val="000000"/>
          <w:kern w:val="0"/>
          <w:szCs w:val="24"/>
          <w:lang w:eastAsia="en-GB"/>
          <w14:ligatures w14:val="none"/>
        </w:rPr>
      </w:pPr>
    </w:p>
    <w:p w14:paraId="3832E02C" w14:textId="1F0E2D73"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Thus, the </w:t>
      </w:r>
      <w:r w:rsidRPr="00DD48C8">
        <w:rPr>
          <w:rFonts w:ascii="Times New Roman" w:eastAsia="Times New Roman" w:hAnsi="Times New Roman" w:cs="Times New Roman"/>
          <w:i/>
          <w:iCs/>
          <w:color w:val="000000"/>
          <w:kern w:val="0"/>
          <w:szCs w:val="24"/>
          <w:lang w:eastAsia="en-GB"/>
          <w14:ligatures w14:val="none"/>
        </w:rPr>
        <w:t>caittas</w:t>
      </w:r>
      <w:r w:rsidRPr="00DD48C8">
        <w:rPr>
          <w:rFonts w:ascii="Times New Roman" w:eastAsia="Times New Roman" w:hAnsi="Times New Roman" w:cs="Times New Roman"/>
          <w:color w:val="000000"/>
          <w:kern w:val="0"/>
          <w:szCs w:val="24"/>
          <w:lang w:eastAsia="en-GB"/>
          <w14:ligatures w14:val="none"/>
        </w:rPr>
        <w:t> provide a subtle analytical language for understanding how ordinary sensory experience may be ritually transformed into </w:t>
      </w:r>
      <w:r w:rsidRPr="00DD48C8">
        <w:rPr>
          <w:rFonts w:ascii="Times New Roman" w:eastAsia="Times New Roman" w:hAnsi="Times New Roman" w:cs="Times New Roman"/>
          <w:i/>
          <w:iCs/>
          <w:color w:val="000000"/>
          <w:kern w:val="0"/>
          <w:szCs w:val="24"/>
          <w:lang w:eastAsia="en-GB"/>
          <w14:ligatures w14:val="none"/>
        </w:rPr>
        <w:t>mahāsukha</w:t>
      </w:r>
      <w:r w:rsidRPr="00DD48C8">
        <w:rPr>
          <w:rFonts w:ascii="Times New Roman" w:eastAsia="Times New Roman" w:hAnsi="Times New Roman" w:cs="Times New Roman"/>
          <w:color w:val="000000"/>
          <w:kern w:val="0"/>
          <w:szCs w:val="24"/>
          <w:lang w:eastAsia="en-GB"/>
          <w14:ligatures w14:val="none"/>
        </w:rPr>
        <w:t>.</w:t>
      </w:r>
    </w:p>
    <w:p w14:paraId="12CEC850" w14:textId="01D3D069" w:rsidR="00DD48C8" w:rsidRPr="00DD48C8" w:rsidRDefault="00DD48C8" w:rsidP="00AF49A4">
      <w:pPr>
        <w:rPr>
          <w:rFonts w:ascii="Times New Roman" w:eastAsia="Times New Roman" w:hAnsi="Times New Roman" w:cs="Times New Roman"/>
          <w:kern w:val="0"/>
          <w:szCs w:val="24"/>
          <w:lang w:eastAsia="en-GB"/>
          <w14:ligatures w14:val="none"/>
        </w:rPr>
      </w:pPr>
    </w:p>
    <w:p w14:paraId="21E74DC0" w14:textId="77777777" w:rsidR="00DD48C8" w:rsidRPr="00BE3008" w:rsidRDefault="00DD48C8" w:rsidP="00AF49A4">
      <w:pPr>
        <w:outlineLvl w:val="2"/>
        <w:rPr>
          <w:rFonts w:ascii="Times New Roman" w:eastAsia="Times New Roman" w:hAnsi="Times New Roman" w:cs="Times New Roman"/>
          <w:b/>
          <w:bCs/>
          <w:color w:val="000000"/>
          <w:kern w:val="0"/>
          <w:sz w:val="28"/>
          <w:szCs w:val="28"/>
          <w:lang w:eastAsia="en-GB"/>
          <w14:ligatures w14:val="none"/>
        </w:rPr>
      </w:pPr>
      <w:r w:rsidRPr="00BE3008">
        <w:rPr>
          <w:rFonts w:ascii="Times New Roman" w:eastAsia="Times New Roman" w:hAnsi="Times New Roman" w:cs="Times New Roman"/>
          <w:b/>
          <w:bCs/>
          <w:color w:val="000000"/>
          <w:kern w:val="0"/>
          <w:sz w:val="28"/>
          <w:szCs w:val="28"/>
          <w:lang w:eastAsia="en-GB"/>
          <w14:ligatures w14:val="none"/>
        </w:rPr>
        <w:t>8.3 </w:t>
      </w:r>
      <w:r w:rsidRPr="00BE3008">
        <w:rPr>
          <w:rFonts w:ascii="Times New Roman" w:eastAsia="Times New Roman" w:hAnsi="Times New Roman" w:cs="Times New Roman"/>
          <w:b/>
          <w:bCs/>
          <w:i/>
          <w:iCs/>
          <w:color w:val="000000"/>
          <w:kern w:val="0"/>
          <w:sz w:val="28"/>
          <w:szCs w:val="28"/>
          <w:lang w:eastAsia="en-GB"/>
          <w14:ligatures w14:val="none"/>
        </w:rPr>
        <w:t>Ahetuka Citta</w:t>
      </w:r>
      <w:r w:rsidRPr="00BE3008">
        <w:rPr>
          <w:rFonts w:ascii="Times New Roman" w:eastAsia="Times New Roman" w:hAnsi="Times New Roman" w:cs="Times New Roman"/>
          <w:b/>
          <w:bCs/>
          <w:color w:val="000000"/>
          <w:kern w:val="0"/>
          <w:sz w:val="28"/>
          <w:szCs w:val="28"/>
          <w:lang w:eastAsia="en-GB"/>
          <w14:ligatures w14:val="none"/>
        </w:rPr>
        <w:t>: A Possible Philosophical Basis for Aesthetic Relish</w:t>
      </w:r>
    </w:p>
    <w:p w14:paraId="419E8A6E" w14:textId="77777777" w:rsidR="00DD48C8" w:rsidRDefault="00DD48C8" w:rsidP="0055354A">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One of the most intriguing Abhidharma concepts for thinking about Buddhist aesthetics is </w:t>
      </w:r>
      <w:r w:rsidRPr="00DD48C8">
        <w:rPr>
          <w:rFonts w:ascii="Times New Roman" w:eastAsia="Times New Roman" w:hAnsi="Times New Roman" w:cs="Times New Roman"/>
          <w:i/>
          <w:iCs/>
          <w:color w:val="000000"/>
          <w:kern w:val="0"/>
          <w:szCs w:val="24"/>
          <w:lang w:eastAsia="en-GB"/>
          <w14:ligatures w14:val="none"/>
        </w:rPr>
        <w:t>ahetuka citta</w:t>
      </w:r>
      <w:r w:rsidRPr="00DD48C8">
        <w:rPr>
          <w:rFonts w:ascii="Times New Roman" w:eastAsia="Times New Roman" w:hAnsi="Times New Roman" w:cs="Times New Roman"/>
          <w:color w:val="000000"/>
          <w:kern w:val="0"/>
          <w:szCs w:val="24"/>
          <w:lang w:eastAsia="en-GB"/>
          <w14:ligatures w14:val="none"/>
        </w:rPr>
        <w:t>, or “rootless consciousness.” Vasubandhu states in the </w:t>
      </w:r>
      <w:r w:rsidRPr="00DD48C8">
        <w:rPr>
          <w:rFonts w:ascii="Times New Roman" w:eastAsia="Times New Roman" w:hAnsi="Times New Roman" w:cs="Times New Roman"/>
          <w:i/>
          <w:iCs/>
          <w:color w:val="000000"/>
          <w:kern w:val="0"/>
          <w:szCs w:val="24"/>
          <w:lang w:eastAsia="en-GB"/>
          <w14:ligatures w14:val="none"/>
        </w:rPr>
        <w:t>Abhidharmakośabhāṣya</w:t>
      </w:r>
      <w:r w:rsidRPr="00DD48C8">
        <w:rPr>
          <w:rFonts w:ascii="Times New Roman" w:eastAsia="Times New Roman" w:hAnsi="Times New Roman" w:cs="Times New Roman"/>
          <w:color w:val="000000"/>
          <w:kern w:val="0"/>
          <w:szCs w:val="24"/>
          <w:lang w:eastAsia="en-GB"/>
          <w14:ligatures w14:val="none"/>
        </w:rPr>
        <w:t>:</w:t>
      </w:r>
    </w:p>
    <w:p w14:paraId="7DC55E01" w14:textId="77777777" w:rsidR="0055354A" w:rsidRPr="0055354A" w:rsidRDefault="0055354A" w:rsidP="0055354A">
      <w:pPr>
        <w:pStyle w:val="NormalWeb"/>
        <w:spacing w:before="0" w:beforeAutospacing="0" w:after="0" w:afterAutospacing="0"/>
        <w:rPr>
          <w:b/>
          <w:bCs/>
          <w:color w:val="000000"/>
        </w:rPr>
      </w:pPr>
      <w:r w:rsidRPr="0055354A">
        <w:rPr>
          <w:rFonts w:cs="Mangal"/>
          <w:b/>
          <w:bCs/>
          <w:color w:val="000000"/>
          <w:cs/>
          <w:lang w:bidi="hi-IN"/>
        </w:rPr>
        <w:t>कामावचरं सहेतुकं अहेतुकं च</w:t>
      </w:r>
      <w:r w:rsidRPr="0055354A">
        <w:rPr>
          <w:b/>
          <w:bCs/>
          <w:color w:val="000000"/>
        </w:rPr>
        <w:t xml:space="preserve">, </w:t>
      </w:r>
      <w:r w:rsidRPr="0055354A">
        <w:rPr>
          <w:rFonts w:cs="Mangal"/>
          <w:b/>
          <w:bCs/>
          <w:color w:val="000000"/>
          <w:cs/>
          <w:lang w:bidi="hi-IN"/>
        </w:rPr>
        <w:t>यथाक्रमं द्वादश अष्टादश च ॥</w:t>
      </w:r>
    </w:p>
    <w:p w14:paraId="3B79C10E" w14:textId="48980D03" w:rsidR="0055354A" w:rsidRPr="00DD48C8" w:rsidRDefault="0055354A" w:rsidP="0055354A">
      <w:pPr>
        <w:rPr>
          <w:rFonts w:ascii="Times New Roman" w:eastAsia="Times New Roman" w:hAnsi="Times New Roman" w:cs="Times New Roman"/>
          <w:color w:val="000000"/>
          <w:kern w:val="0"/>
          <w:szCs w:val="24"/>
          <w:lang w:eastAsia="en-GB"/>
          <w14:ligatures w14:val="none"/>
        </w:rPr>
      </w:pPr>
      <w:r>
        <w:rPr>
          <w:rFonts w:ascii="Times New Roman" w:eastAsia="Times New Roman" w:hAnsi="Times New Roman" w:cs="Times New Roman"/>
          <w:color w:val="000000"/>
          <w:kern w:val="0"/>
          <w:szCs w:val="24"/>
          <w:lang w:eastAsia="en-GB"/>
          <w14:ligatures w14:val="none"/>
        </w:rPr>
        <w:t>Transliteration</w:t>
      </w:r>
    </w:p>
    <w:p w14:paraId="7A3162F7" w14:textId="77777777" w:rsidR="00DD48C8" w:rsidRPr="00DD48C8" w:rsidRDefault="00DD48C8" w:rsidP="0055354A">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i/>
          <w:iCs/>
          <w:color w:val="000000"/>
          <w:kern w:val="0"/>
          <w:szCs w:val="24"/>
          <w:lang w:eastAsia="en-GB"/>
          <w14:ligatures w14:val="none"/>
        </w:rPr>
        <w:t>Kamāvacaraṃ sahetukam ahetukaṃ ca, yathākramaṃ dvādaśa aṣṭādaśa ca.</w:t>
      </w:r>
    </w:p>
    <w:p w14:paraId="53AEA919" w14:textId="77777777" w:rsidR="00DD48C8" w:rsidRPr="00DD48C8" w:rsidRDefault="00DD48C8" w:rsidP="0055354A">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Translation:</w:t>
      </w:r>
    </w:p>
    <w:p w14:paraId="6E99F839"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“Consciousness belonging to the desire realm is of two kinds: with roots and without roots; respectively, they number twelve and eighteen.”</w:t>
      </w:r>
      <w:r w:rsidRPr="00DD48C8">
        <w:rPr>
          <w:rFonts w:ascii="Times New Roman" w:eastAsia="Times New Roman" w:hAnsi="Times New Roman" w:cs="Times New Roman"/>
          <w:color w:val="000000"/>
          <w:kern w:val="0"/>
          <w:szCs w:val="24"/>
          <w:lang w:eastAsia="en-GB"/>
          <w14:ligatures w14:val="none"/>
        </w:rPr>
        <w:br/>
        <w:t>(</w:t>
      </w:r>
      <w:r w:rsidRPr="00DD48C8">
        <w:rPr>
          <w:rFonts w:ascii="Times New Roman" w:eastAsia="Times New Roman" w:hAnsi="Times New Roman" w:cs="Times New Roman"/>
          <w:i/>
          <w:iCs/>
          <w:color w:val="000000"/>
          <w:kern w:val="0"/>
          <w:szCs w:val="24"/>
          <w:lang w:eastAsia="en-GB"/>
          <w14:ligatures w14:val="none"/>
        </w:rPr>
        <w:t>Abhidharmakośabhāṣya</w:t>
      </w:r>
      <w:r w:rsidRPr="00DD48C8">
        <w:rPr>
          <w:rFonts w:ascii="Times New Roman" w:eastAsia="Times New Roman" w:hAnsi="Times New Roman" w:cs="Times New Roman"/>
          <w:color w:val="000000"/>
          <w:kern w:val="0"/>
          <w:szCs w:val="24"/>
          <w:lang w:eastAsia="en-GB"/>
          <w14:ligatures w14:val="none"/>
        </w:rPr>
        <w:t> 2.72)</w:t>
      </w:r>
    </w:p>
    <w:p w14:paraId="5F282C06" w14:textId="77777777" w:rsidR="0055354A" w:rsidRDefault="0055354A" w:rsidP="00AF49A4">
      <w:pPr>
        <w:rPr>
          <w:rFonts w:ascii="Times New Roman" w:eastAsia="Times New Roman" w:hAnsi="Times New Roman" w:cs="Times New Roman"/>
          <w:color w:val="000000"/>
          <w:kern w:val="0"/>
          <w:szCs w:val="24"/>
          <w:lang w:eastAsia="en-GB"/>
          <w14:ligatures w14:val="none"/>
        </w:rPr>
      </w:pPr>
    </w:p>
    <w:p w14:paraId="23D4A23D" w14:textId="0C38191D"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so-called “rootless” consciousnesses are not driven by the morally charged roots of greed, hatred, and delusion. They arise in a more neutral and functionally specific manner. This concept later becomes suggestive for aesthetic theory because it may help explain how emotional states that would normally be ethically problematic—anger, sorrow, erotic desire, fear—can be experienced in aesthetic contexts without ordinary attachment.</w:t>
      </w:r>
    </w:p>
    <w:p w14:paraId="2F617D28" w14:textId="77777777" w:rsidR="0055354A" w:rsidRDefault="0055354A" w:rsidP="00AF49A4">
      <w:pPr>
        <w:rPr>
          <w:rFonts w:ascii="Times New Roman" w:eastAsia="Times New Roman" w:hAnsi="Times New Roman" w:cs="Times New Roman"/>
          <w:color w:val="000000"/>
          <w:kern w:val="0"/>
          <w:szCs w:val="24"/>
          <w:lang w:eastAsia="en-GB"/>
          <w14:ligatures w14:val="none"/>
        </w:rPr>
      </w:pPr>
    </w:p>
    <w:p w14:paraId="2F60B77B" w14:textId="232DCEC1"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connection between </w:t>
      </w:r>
      <w:r w:rsidRPr="00DD48C8">
        <w:rPr>
          <w:rFonts w:ascii="Times New Roman" w:eastAsia="Times New Roman" w:hAnsi="Times New Roman" w:cs="Times New Roman"/>
          <w:i/>
          <w:iCs/>
          <w:color w:val="000000"/>
          <w:kern w:val="0"/>
          <w:szCs w:val="24"/>
          <w:lang w:eastAsia="en-GB"/>
          <w14:ligatures w14:val="none"/>
        </w:rPr>
        <w:t>ahetuka citta</w:t>
      </w:r>
      <w:r w:rsidRPr="00DD48C8">
        <w:rPr>
          <w:rFonts w:ascii="Times New Roman" w:eastAsia="Times New Roman" w:hAnsi="Times New Roman" w:cs="Times New Roman"/>
          <w:color w:val="000000"/>
          <w:kern w:val="0"/>
          <w:szCs w:val="24"/>
          <w:lang w:eastAsia="en-GB"/>
          <w14:ligatures w14:val="none"/>
        </w:rPr>
        <w:t> and Abhinavagupta’s </w:t>
      </w:r>
      <w:r w:rsidRPr="00DD48C8">
        <w:rPr>
          <w:rFonts w:ascii="Times New Roman" w:eastAsia="Times New Roman" w:hAnsi="Times New Roman" w:cs="Times New Roman"/>
          <w:i/>
          <w:iCs/>
          <w:color w:val="000000"/>
          <w:kern w:val="0"/>
          <w:szCs w:val="24"/>
          <w:lang w:eastAsia="en-GB"/>
          <w14:ligatures w14:val="none"/>
        </w:rPr>
        <w:t>alaukika rasa</w:t>
      </w:r>
      <w:r w:rsidRPr="00DD48C8">
        <w:rPr>
          <w:rFonts w:ascii="Times New Roman" w:eastAsia="Times New Roman" w:hAnsi="Times New Roman" w:cs="Times New Roman"/>
          <w:color w:val="000000"/>
          <w:kern w:val="0"/>
          <w:szCs w:val="24"/>
          <w:lang w:eastAsia="en-GB"/>
          <w14:ligatures w14:val="none"/>
        </w:rPr>
        <w:t xml:space="preserve"> remains speculative. Vasubandhu does not write about aesthetics, and there is no direct evidence that </w:t>
      </w:r>
      <w:r w:rsidRPr="00DD48C8">
        <w:rPr>
          <w:rFonts w:ascii="Times New Roman" w:eastAsia="Times New Roman" w:hAnsi="Times New Roman" w:cs="Times New Roman"/>
          <w:color w:val="000000"/>
          <w:kern w:val="0"/>
          <w:szCs w:val="24"/>
          <w:lang w:eastAsia="en-GB"/>
          <w14:ligatures w14:val="none"/>
        </w:rPr>
        <w:lastRenderedPageBreak/>
        <w:t>Abhinavagupta derived his rasa theory from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Nevertheless, the conceptual resemblance is significant.</w:t>
      </w:r>
    </w:p>
    <w:p w14:paraId="2D9B2264" w14:textId="77777777" w:rsidR="0055354A" w:rsidRDefault="0055354A" w:rsidP="00AF49A4">
      <w:pPr>
        <w:rPr>
          <w:rFonts w:ascii="Times New Roman" w:eastAsia="Times New Roman" w:hAnsi="Times New Roman" w:cs="Times New Roman"/>
          <w:color w:val="000000"/>
          <w:kern w:val="0"/>
          <w:szCs w:val="24"/>
          <w:lang w:eastAsia="en-GB"/>
          <w14:ligatures w14:val="none"/>
        </w:rPr>
      </w:pPr>
    </w:p>
    <w:p w14:paraId="2C6BC1CD" w14:textId="4A0B46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w:t>
      </w:r>
      <w:r w:rsidRPr="00DD48C8">
        <w:rPr>
          <w:rFonts w:ascii="Times New Roman" w:eastAsia="Times New Roman" w:hAnsi="Times New Roman" w:cs="Times New Roman"/>
          <w:i/>
          <w:iCs/>
          <w:color w:val="000000"/>
          <w:kern w:val="0"/>
          <w:szCs w:val="24"/>
          <w:lang w:eastAsia="en-GB"/>
          <w14:ligatures w14:val="none"/>
        </w:rPr>
        <w:t>Hevajratantra</w:t>
      </w:r>
      <w:r w:rsidRPr="00DD48C8">
        <w:rPr>
          <w:rFonts w:ascii="Times New Roman" w:eastAsia="Times New Roman" w:hAnsi="Times New Roman" w:cs="Times New Roman"/>
          <w:color w:val="000000"/>
          <w:kern w:val="0"/>
          <w:szCs w:val="24"/>
          <w:lang w:eastAsia="en-GB"/>
          <w14:ligatures w14:val="none"/>
        </w:rPr>
        <w:t> radicalizes this possibility. It does not merely allow affect to become aesthetically purified in the spectator’s mind; it transforms embodied sensation itself into the field of awakening. Where early Buddhist analysis may locate non-attached awareness within contemplative observation, tantric practice discovers it in the vibration of dance and the resonance of song.</w:t>
      </w:r>
    </w:p>
    <w:p w14:paraId="3CF6A054" w14:textId="05EC4331" w:rsidR="00DD48C8" w:rsidRPr="00DD48C8" w:rsidRDefault="00DD48C8" w:rsidP="00AF49A4">
      <w:pPr>
        <w:rPr>
          <w:rFonts w:ascii="Times New Roman" w:eastAsia="Times New Roman" w:hAnsi="Times New Roman" w:cs="Times New Roman"/>
          <w:kern w:val="0"/>
          <w:szCs w:val="24"/>
          <w:lang w:eastAsia="en-GB"/>
          <w14:ligatures w14:val="none"/>
        </w:rPr>
      </w:pPr>
    </w:p>
    <w:p w14:paraId="5C717B99" w14:textId="77777777" w:rsidR="00DD48C8" w:rsidRPr="00DD48C8" w:rsidRDefault="00DD48C8" w:rsidP="00AF49A4">
      <w:pPr>
        <w:outlineLvl w:val="2"/>
        <w:rPr>
          <w:rFonts w:ascii="Times New Roman" w:eastAsia="Times New Roman" w:hAnsi="Times New Roman" w:cs="Times New Roman"/>
          <w:b/>
          <w:bCs/>
          <w:color w:val="000000"/>
          <w:kern w:val="0"/>
          <w:sz w:val="27"/>
          <w:szCs w:val="27"/>
          <w:lang w:eastAsia="en-GB"/>
          <w14:ligatures w14:val="none"/>
        </w:rPr>
      </w:pPr>
      <w:r w:rsidRPr="00DD48C8">
        <w:rPr>
          <w:rFonts w:ascii="Times New Roman" w:eastAsia="Times New Roman" w:hAnsi="Times New Roman" w:cs="Times New Roman"/>
          <w:b/>
          <w:bCs/>
          <w:color w:val="000000"/>
          <w:kern w:val="0"/>
          <w:sz w:val="27"/>
          <w:szCs w:val="27"/>
          <w:lang w:eastAsia="en-GB"/>
          <w14:ligatures w14:val="none"/>
        </w:rPr>
        <w:t>8.4 </w:t>
      </w:r>
      <w:r w:rsidRPr="00DD48C8">
        <w:rPr>
          <w:rFonts w:ascii="Times New Roman" w:eastAsia="Times New Roman" w:hAnsi="Times New Roman" w:cs="Times New Roman"/>
          <w:b/>
          <w:bCs/>
          <w:i/>
          <w:iCs/>
          <w:color w:val="000000"/>
          <w:kern w:val="0"/>
          <w:sz w:val="27"/>
          <w:szCs w:val="27"/>
          <w:lang w:eastAsia="en-GB"/>
          <w14:ligatures w14:val="none"/>
        </w:rPr>
        <w:t>Kāyavijñapti</w:t>
      </w:r>
      <w:r w:rsidRPr="00DD48C8">
        <w:rPr>
          <w:rFonts w:ascii="Times New Roman" w:eastAsia="Times New Roman" w:hAnsi="Times New Roman" w:cs="Times New Roman"/>
          <w:b/>
          <w:bCs/>
          <w:color w:val="000000"/>
          <w:kern w:val="0"/>
          <w:sz w:val="27"/>
          <w:szCs w:val="27"/>
          <w:lang w:eastAsia="en-GB"/>
          <w14:ligatures w14:val="none"/>
        </w:rPr>
        <w:t>: Bodily Intimation and the Karmic Theory of Movement</w:t>
      </w:r>
    </w:p>
    <w:p w14:paraId="089F888F"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the fourth chapter of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Vasubandhu discusses bodily action and the nature of karma. A significant debate emerges: what exactly is bodily action?</w:t>
      </w:r>
    </w:p>
    <w:p w14:paraId="6B467F9B"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Different schools provide different answers:</w:t>
      </w:r>
    </w:p>
    <w:p w14:paraId="0A9A5D37" w14:textId="77777777" w:rsidR="00DD48C8" w:rsidRPr="00DD48C8" w:rsidRDefault="00DD48C8" w:rsidP="00AF49A4">
      <w:pPr>
        <w:numPr>
          <w:ilvl w:val="0"/>
          <w:numId w:val="8"/>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for the Pudgalavādins, bodily action is movement;</w:t>
      </w:r>
    </w:p>
    <w:p w14:paraId="5EF6BCDA" w14:textId="77777777" w:rsidR="00DD48C8" w:rsidRPr="00DD48C8" w:rsidRDefault="00DD48C8" w:rsidP="00AF49A4">
      <w:pPr>
        <w:numPr>
          <w:ilvl w:val="0"/>
          <w:numId w:val="8"/>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for the Sarvāstivādins, bodily action is shape or form;</w:t>
      </w:r>
    </w:p>
    <w:p w14:paraId="3AB7E80A" w14:textId="77777777" w:rsidR="00DD48C8" w:rsidRPr="00DD48C8" w:rsidRDefault="00DD48C8" w:rsidP="00AF49A4">
      <w:pPr>
        <w:numPr>
          <w:ilvl w:val="0"/>
          <w:numId w:val="8"/>
        </w:num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for Vasubandhu’s Sautrāntika position, bodily action is fundamentally intention (</w:t>
      </w:r>
      <w:r w:rsidRPr="00DD48C8">
        <w:rPr>
          <w:rFonts w:ascii="Times New Roman" w:eastAsia="Times New Roman" w:hAnsi="Times New Roman" w:cs="Times New Roman"/>
          <w:i/>
          <w:iCs/>
          <w:color w:val="000000"/>
          <w:kern w:val="0"/>
          <w:szCs w:val="24"/>
          <w:lang w:eastAsia="en-GB"/>
          <w14:ligatures w14:val="none"/>
        </w:rPr>
        <w:t>cetanā</w:t>
      </w:r>
      <w:r w:rsidRPr="00DD48C8">
        <w:rPr>
          <w:rFonts w:ascii="Times New Roman" w:eastAsia="Times New Roman" w:hAnsi="Times New Roman" w:cs="Times New Roman"/>
          <w:color w:val="000000"/>
          <w:kern w:val="0"/>
          <w:szCs w:val="24"/>
          <w:lang w:eastAsia="en-GB"/>
          <w14:ligatures w14:val="none"/>
        </w:rPr>
        <w:t>) directed toward the body.</w:t>
      </w:r>
    </w:p>
    <w:p w14:paraId="3C4D903D"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Vasubandhu also discusses </w:t>
      </w:r>
      <w:r w:rsidRPr="00DD48C8">
        <w:rPr>
          <w:rFonts w:ascii="Times New Roman" w:eastAsia="Times New Roman" w:hAnsi="Times New Roman" w:cs="Times New Roman"/>
          <w:i/>
          <w:iCs/>
          <w:color w:val="000000"/>
          <w:kern w:val="0"/>
          <w:szCs w:val="24"/>
          <w:lang w:eastAsia="en-GB"/>
          <w14:ligatures w14:val="none"/>
        </w:rPr>
        <w:t>kāyavijñapti</w:t>
      </w:r>
      <w:r w:rsidRPr="00DD48C8">
        <w:rPr>
          <w:rFonts w:ascii="Times New Roman" w:eastAsia="Times New Roman" w:hAnsi="Times New Roman" w:cs="Times New Roman"/>
          <w:color w:val="000000"/>
          <w:kern w:val="0"/>
          <w:szCs w:val="24"/>
          <w:lang w:eastAsia="en-GB"/>
          <w14:ligatures w14:val="none"/>
        </w:rPr>
        <w:t>, or bodily intimation—the process through which intention becomes expressed through bodily form and action.</w:t>
      </w:r>
    </w:p>
    <w:p w14:paraId="06A34E61"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This concept is particularly useful for interpreting tantric dance. If dance is analyzed as action, one may ask: what is its essence? Is it merely mechanical bodily motion, or does it express a specific contemplative intention?</w:t>
      </w:r>
    </w:p>
    <w:p w14:paraId="42028707"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tantric answer is clear: dance is not merely movement. It is the outward manifestation of ritually transformed consciousness. When the practitioner’s intention is purified through mantra, each movement becomes </w:t>
      </w:r>
      <w:r w:rsidRPr="00DD48C8">
        <w:rPr>
          <w:rFonts w:ascii="Times New Roman" w:eastAsia="Times New Roman" w:hAnsi="Times New Roman" w:cs="Times New Roman"/>
          <w:i/>
          <w:iCs/>
          <w:color w:val="000000"/>
          <w:kern w:val="0"/>
          <w:szCs w:val="24"/>
          <w:lang w:eastAsia="en-GB"/>
          <w14:ligatures w14:val="none"/>
        </w:rPr>
        <w:t>kāyavijñapti</w:t>
      </w:r>
      <w:r w:rsidRPr="00DD48C8">
        <w:rPr>
          <w:rFonts w:ascii="Times New Roman" w:eastAsia="Times New Roman" w:hAnsi="Times New Roman" w:cs="Times New Roman"/>
          <w:color w:val="000000"/>
          <w:kern w:val="0"/>
          <w:szCs w:val="24"/>
          <w:lang w:eastAsia="en-GB"/>
          <w14:ligatures w14:val="none"/>
        </w:rPr>
        <w:t>—a bodily disclosure of deity-presence, emptiness, and awakened intention.</w:t>
      </w:r>
    </w:p>
    <w:p w14:paraId="7602DC53"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intention behind tantric dance is not ordinary desire, which produces karmic bondage. It is </w:t>
      </w:r>
      <w:r w:rsidRPr="00DD48C8">
        <w:rPr>
          <w:rFonts w:ascii="Times New Roman" w:eastAsia="Times New Roman" w:hAnsi="Times New Roman" w:cs="Times New Roman"/>
          <w:i/>
          <w:iCs/>
          <w:color w:val="000000"/>
          <w:kern w:val="0"/>
          <w:szCs w:val="24"/>
          <w:lang w:eastAsia="en-GB"/>
          <w14:ligatures w14:val="none"/>
        </w:rPr>
        <w:t>prajñā</w:t>
      </w:r>
      <w:r w:rsidRPr="00DD48C8">
        <w:rPr>
          <w:rFonts w:ascii="Times New Roman" w:eastAsia="Times New Roman" w:hAnsi="Times New Roman" w:cs="Times New Roman"/>
          <w:color w:val="000000"/>
          <w:kern w:val="0"/>
          <w:szCs w:val="24"/>
          <w:lang w:eastAsia="en-GB"/>
          <w14:ligatures w14:val="none"/>
        </w:rPr>
        <w:t> and </w:t>
      </w:r>
      <w:r w:rsidRPr="00DD48C8">
        <w:rPr>
          <w:rFonts w:ascii="Times New Roman" w:eastAsia="Times New Roman" w:hAnsi="Times New Roman" w:cs="Times New Roman"/>
          <w:i/>
          <w:iCs/>
          <w:color w:val="000000"/>
          <w:kern w:val="0"/>
          <w:szCs w:val="24"/>
          <w:lang w:eastAsia="en-GB"/>
          <w14:ligatures w14:val="none"/>
        </w:rPr>
        <w:t>karuṇā</w:t>
      </w:r>
      <w:r w:rsidRPr="00DD48C8">
        <w:rPr>
          <w:rFonts w:ascii="Times New Roman" w:eastAsia="Times New Roman" w:hAnsi="Times New Roman" w:cs="Times New Roman"/>
          <w:color w:val="000000"/>
          <w:kern w:val="0"/>
          <w:szCs w:val="24"/>
          <w:lang w:eastAsia="en-GB"/>
          <w14:ligatures w14:val="none"/>
        </w:rPr>
        <w:t>—wisdom and compassion—directed toward liberation.</w:t>
      </w:r>
    </w:p>
    <w:p w14:paraId="66CB529D" w14:textId="4149975F" w:rsidR="00DD48C8" w:rsidRPr="00DD48C8" w:rsidRDefault="00DD48C8" w:rsidP="00AF49A4">
      <w:pPr>
        <w:rPr>
          <w:rFonts w:ascii="Times New Roman" w:eastAsia="Times New Roman" w:hAnsi="Times New Roman" w:cs="Times New Roman"/>
          <w:kern w:val="0"/>
          <w:szCs w:val="24"/>
          <w:lang w:eastAsia="en-GB"/>
          <w14:ligatures w14:val="none"/>
        </w:rPr>
      </w:pPr>
    </w:p>
    <w:p w14:paraId="212D319F" w14:textId="77777777" w:rsidR="00DD48C8" w:rsidRPr="00DD48C8" w:rsidRDefault="00DD48C8" w:rsidP="00AF49A4">
      <w:pPr>
        <w:outlineLvl w:val="2"/>
        <w:rPr>
          <w:rFonts w:ascii="Times New Roman" w:eastAsia="Times New Roman" w:hAnsi="Times New Roman" w:cs="Times New Roman"/>
          <w:b/>
          <w:bCs/>
          <w:color w:val="000000"/>
          <w:kern w:val="0"/>
          <w:sz w:val="27"/>
          <w:szCs w:val="27"/>
          <w:lang w:eastAsia="en-GB"/>
          <w14:ligatures w14:val="none"/>
        </w:rPr>
      </w:pPr>
      <w:r w:rsidRPr="00DD48C8">
        <w:rPr>
          <w:rFonts w:ascii="Times New Roman" w:eastAsia="Times New Roman" w:hAnsi="Times New Roman" w:cs="Times New Roman"/>
          <w:b/>
          <w:bCs/>
          <w:color w:val="000000"/>
          <w:kern w:val="0"/>
          <w:sz w:val="27"/>
          <w:szCs w:val="27"/>
          <w:lang w:eastAsia="en-GB"/>
          <w14:ligatures w14:val="none"/>
        </w:rPr>
        <w:t>8.5 </w:t>
      </w:r>
      <w:r w:rsidRPr="00DD48C8">
        <w:rPr>
          <w:rFonts w:ascii="Times New Roman" w:eastAsia="Times New Roman" w:hAnsi="Times New Roman" w:cs="Times New Roman"/>
          <w:b/>
          <w:bCs/>
          <w:i/>
          <w:iCs/>
          <w:color w:val="000000"/>
          <w:kern w:val="0"/>
          <w:sz w:val="27"/>
          <w:szCs w:val="27"/>
          <w:lang w:eastAsia="en-GB"/>
          <w14:ligatures w14:val="none"/>
        </w:rPr>
        <w:t>Sparśa</w:t>
      </w:r>
      <w:r w:rsidRPr="00DD48C8">
        <w:rPr>
          <w:rFonts w:ascii="Times New Roman" w:eastAsia="Times New Roman" w:hAnsi="Times New Roman" w:cs="Times New Roman"/>
          <w:b/>
          <w:bCs/>
          <w:color w:val="000000"/>
          <w:kern w:val="0"/>
          <w:sz w:val="27"/>
          <w:szCs w:val="27"/>
          <w:lang w:eastAsia="en-GB"/>
          <w14:ligatures w14:val="none"/>
        </w:rPr>
        <w:t>: Contact and the Epistemology of the Body</w:t>
      </w:r>
    </w:p>
    <w:p w14:paraId="5CD3D0E8" w14:textId="54FD9782" w:rsidR="00DD48C8" w:rsidRPr="00AF1592" w:rsidRDefault="00DD48C8" w:rsidP="00AF1592">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Abhidharma, </w:t>
      </w:r>
      <w:r w:rsidRPr="00DD48C8">
        <w:rPr>
          <w:rFonts w:ascii="Times New Roman" w:eastAsia="Times New Roman" w:hAnsi="Times New Roman" w:cs="Times New Roman"/>
          <w:i/>
          <w:iCs/>
          <w:color w:val="000000"/>
          <w:kern w:val="0"/>
          <w:szCs w:val="24"/>
          <w:lang w:eastAsia="en-GB"/>
          <w14:ligatures w14:val="none"/>
        </w:rPr>
        <w:t>sparśa</w:t>
      </w:r>
      <w:r w:rsidRPr="00DD48C8">
        <w:rPr>
          <w:rFonts w:ascii="Times New Roman" w:eastAsia="Times New Roman" w:hAnsi="Times New Roman" w:cs="Times New Roman"/>
          <w:color w:val="000000"/>
          <w:kern w:val="0"/>
          <w:szCs w:val="24"/>
          <w:lang w:eastAsia="en-GB"/>
          <w14:ligatures w14:val="none"/>
        </w:rPr>
        <w:t> is defined as the conjunction of three factors: sense faculty (</w:t>
      </w:r>
      <w:r w:rsidRPr="00DD48C8">
        <w:rPr>
          <w:rFonts w:ascii="Times New Roman" w:eastAsia="Times New Roman" w:hAnsi="Times New Roman" w:cs="Times New Roman"/>
          <w:i/>
          <w:iCs/>
          <w:color w:val="000000"/>
          <w:kern w:val="0"/>
          <w:szCs w:val="24"/>
          <w:lang w:eastAsia="en-GB"/>
          <w14:ligatures w14:val="none"/>
        </w:rPr>
        <w:t>indriya</w:t>
      </w:r>
      <w:r w:rsidRPr="00DD48C8">
        <w:rPr>
          <w:rFonts w:ascii="Times New Roman" w:eastAsia="Times New Roman" w:hAnsi="Times New Roman" w:cs="Times New Roman"/>
          <w:color w:val="000000"/>
          <w:kern w:val="0"/>
          <w:szCs w:val="24"/>
          <w:lang w:eastAsia="en-GB"/>
          <w14:ligatures w14:val="none"/>
        </w:rPr>
        <w:t>), object (</w:t>
      </w:r>
      <w:r w:rsidRPr="00DD48C8">
        <w:rPr>
          <w:rFonts w:ascii="Times New Roman" w:eastAsia="Times New Roman" w:hAnsi="Times New Roman" w:cs="Times New Roman"/>
          <w:i/>
          <w:iCs/>
          <w:color w:val="000000"/>
          <w:kern w:val="0"/>
          <w:szCs w:val="24"/>
          <w:lang w:eastAsia="en-GB"/>
          <w14:ligatures w14:val="none"/>
        </w:rPr>
        <w:t>viṣaya</w:t>
      </w:r>
      <w:r w:rsidRPr="00DD48C8">
        <w:rPr>
          <w:rFonts w:ascii="Times New Roman" w:eastAsia="Times New Roman" w:hAnsi="Times New Roman" w:cs="Times New Roman"/>
          <w:color w:val="000000"/>
          <w:kern w:val="0"/>
          <w:szCs w:val="24"/>
          <w:lang w:eastAsia="en-GB"/>
          <w14:ligatures w14:val="none"/>
        </w:rPr>
        <w:t>), and consciousness (</w:t>
      </w:r>
      <w:r w:rsidRPr="00DD48C8">
        <w:rPr>
          <w:rFonts w:ascii="Times New Roman" w:eastAsia="Times New Roman" w:hAnsi="Times New Roman" w:cs="Times New Roman"/>
          <w:i/>
          <w:iCs/>
          <w:color w:val="000000"/>
          <w:kern w:val="0"/>
          <w:szCs w:val="24"/>
          <w:lang w:eastAsia="en-GB"/>
          <w14:ligatures w14:val="none"/>
        </w:rPr>
        <w:t>vijñāna</w:t>
      </w:r>
      <w:r w:rsidRPr="00DD48C8">
        <w:rPr>
          <w:rFonts w:ascii="Times New Roman" w:eastAsia="Times New Roman" w:hAnsi="Times New Roman" w:cs="Times New Roman"/>
          <w:color w:val="000000"/>
          <w:kern w:val="0"/>
          <w:szCs w:val="24"/>
          <w:lang w:eastAsia="en-GB"/>
          <w14:ligatures w14:val="none"/>
        </w:rPr>
        <w:t>). Contact is followed by feeling (</w:t>
      </w:r>
      <w:r w:rsidRPr="00DD48C8">
        <w:rPr>
          <w:rFonts w:ascii="Times New Roman" w:eastAsia="Times New Roman" w:hAnsi="Times New Roman" w:cs="Times New Roman"/>
          <w:i/>
          <w:iCs/>
          <w:color w:val="000000"/>
          <w:kern w:val="0"/>
          <w:szCs w:val="24"/>
          <w:lang w:eastAsia="en-GB"/>
          <w14:ligatures w14:val="none"/>
        </w:rPr>
        <w:t>vedanā</w:t>
      </w:r>
      <w:r w:rsidRPr="00DD48C8">
        <w:rPr>
          <w:rFonts w:ascii="Times New Roman" w:eastAsia="Times New Roman" w:hAnsi="Times New Roman" w:cs="Times New Roman"/>
          <w:color w:val="000000"/>
          <w:kern w:val="0"/>
          <w:szCs w:val="24"/>
          <w:lang w:eastAsia="en-GB"/>
          <w14:ligatures w14:val="none"/>
        </w:rPr>
        <w:t>), and feeling may give rise to craving (</w:t>
      </w:r>
      <w:r w:rsidRPr="00DD48C8">
        <w:rPr>
          <w:rFonts w:ascii="Times New Roman" w:eastAsia="Times New Roman" w:hAnsi="Times New Roman" w:cs="Times New Roman"/>
          <w:i/>
          <w:iCs/>
          <w:color w:val="000000"/>
          <w:kern w:val="0"/>
          <w:szCs w:val="24"/>
          <w:lang w:eastAsia="en-GB"/>
          <w14:ligatures w14:val="none"/>
        </w:rPr>
        <w:t>tṛṣṇā</w:t>
      </w:r>
      <w:r w:rsidRPr="00DD48C8">
        <w:rPr>
          <w:rFonts w:ascii="Times New Roman" w:eastAsia="Times New Roman" w:hAnsi="Times New Roman" w:cs="Times New Roman"/>
          <w:color w:val="000000"/>
          <w:kern w:val="0"/>
          <w:szCs w:val="24"/>
          <w:lang w:eastAsia="en-GB"/>
          <w14:ligatures w14:val="none"/>
        </w:rPr>
        <w:t xml:space="preserve">). This sequence forms part of the broader structure of </w:t>
      </w:r>
      <w:r w:rsidRPr="00AF1592">
        <w:rPr>
          <w:rFonts w:ascii="Times New Roman" w:eastAsia="Times New Roman" w:hAnsi="Times New Roman" w:cs="Times New Roman"/>
          <w:color w:val="000000"/>
          <w:kern w:val="0"/>
          <w:szCs w:val="24"/>
          <w:lang w:eastAsia="en-GB"/>
          <w14:ligatures w14:val="none"/>
        </w:rPr>
        <w:t>dependent origination.</w:t>
      </w:r>
      <w:r w:rsidR="00AF1592">
        <w:rPr>
          <w:rFonts w:ascii="Times New Roman" w:eastAsia="Times New Roman" w:hAnsi="Times New Roman" w:cs="Times New Roman"/>
          <w:color w:val="000000"/>
          <w:kern w:val="0"/>
          <w:szCs w:val="24"/>
          <w:lang w:eastAsia="en-GB"/>
          <w14:ligatures w14:val="none"/>
        </w:rPr>
        <w:t xml:space="preserve"> </w:t>
      </w:r>
      <w:r w:rsidRPr="00AF1592">
        <w:rPr>
          <w:rFonts w:ascii="Times New Roman" w:eastAsia="Times New Roman" w:hAnsi="Times New Roman" w:cs="Times New Roman"/>
          <w:color w:val="000000"/>
          <w:kern w:val="0"/>
          <w:szCs w:val="24"/>
          <w:lang w:eastAsia="en-GB"/>
          <w14:ligatures w14:val="none"/>
        </w:rPr>
        <w:t>The formula may be rendered as:</w:t>
      </w:r>
    </w:p>
    <w:p w14:paraId="6206F8A4" w14:textId="77777777" w:rsidR="00461818" w:rsidRPr="00AF1592" w:rsidRDefault="00461818" w:rsidP="00AF1592">
      <w:pPr>
        <w:rPr>
          <w:rFonts w:ascii="-webkit-standard" w:hAnsi="-webkit-standard" w:cs="Mangal"/>
          <w:color w:val="000000"/>
          <w:szCs w:val="24"/>
          <w:lang w:bidi="hi-IN"/>
        </w:rPr>
      </w:pPr>
      <w:r w:rsidRPr="00AF1592">
        <w:rPr>
          <w:rFonts w:ascii="-webkit-standard" w:hAnsi="-webkit-standard" w:cs="Mangal"/>
          <w:color w:val="000000"/>
          <w:szCs w:val="24"/>
          <w:cs/>
          <w:lang w:bidi="hi-IN"/>
        </w:rPr>
        <w:t>चक्षुश्च रूपं च चक्षुर्विज्ञानं</w:t>
      </w:r>
      <w:r w:rsidRPr="00AF1592">
        <w:rPr>
          <w:rFonts w:ascii="-webkit-standard" w:hAnsi="-webkit-standard"/>
          <w:color w:val="000000"/>
          <w:szCs w:val="24"/>
        </w:rPr>
        <w:t>—</w:t>
      </w:r>
      <w:r w:rsidRPr="00AF1592">
        <w:rPr>
          <w:rFonts w:ascii="-webkit-standard" w:hAnsi="-webkit-standard" w:cs="Mangal"/>
          <w:color w:val="000000"/>
          <w:szCs w:val="24"/>
          <w:cs/>
          <w:lang w:bidi="hi-IN"/>
        </w:rPr>
        <w:t>त्रयाणां सङ्गतिः स्पर्शः ॥</w:t>
      </w:r>
    </w:p>
    <w:p w14:paraId="28F8AAD3" w14:textId="3DE91407" w:rsidR="00AF1592" w:rsidRPr="00AF1592" w:rsidRDefault="00AF1592" w:rsidP="00AF1592">
      <w:pPr>
        <w:rPr>
          <w:rFonts w:ascii="-webkit-standard" w:hAnsi="-webkit-standard" w:cs="Mangal"/>
          <w:color w:val="000000"/>
          <w:szCs w:val="24"/>
          <w:lang w:bidi="hi-IN"/>
        </w:rPr>
      </w:pPr>
      <w:r w:rsidRPr="00AF1592">
        <w:rPr>
          <w:rFonts w:ascii="-webkit-standard" w:hAnsi="-webkit-standard" w:cs="Mangal"/>
          <w:color w:val="000000"/>
          <w:szCs w:val="24"/>
          <w:lang w:bidi="hi-IN"/>
        </w:rPr>
        <w:t>Transliteration:</w:t>
      </w:r>
    </w:p>
    <w:p w14:paraId="1C69B3C2" w14:textId="78050FA6" w:rsidR="00AF1592" w:rsidRPr="00AF1592" w:rsidRDefault="00AF1592" w:rsidP="00AF1592">
      <w:pPr>
        <w:rPr>
          <w:rFonts w:ascii="-webkit-standard" w:hAnsi="-webkit-standard" w:cs="Mangal"/>
          <w:color w:val="000000"/>
          <w:szCs w:val="24"/>
          <w:lang w:bidi="hi-IN"/>
        </w:rPr>
      </w:pPr>
      <w:r w:rsidRPr="00AF1592">
        <w:rPr>
          <w:rFonts w:ascii="-webkit-standard" w:hAnsi="-webkit-standard"/>
          <w:color w:val="000000"/>
          <w:szCs w:val="24"/>
        </w:rPr>
        <w:t>Cakṣuś ca rūpaṃ ca cakṣurvijñānaṃ — trayāṇāṃ saṅgatiḥ sparśaḥ.</w:t>
      </w:r>
    </w:p>
    <w:p w14:paraId="030026C9" w14:textId="616B0761" w:rsidR="00DD48C8" w:rsidRPr="00DD48C8" w:rsidRDefault="00DD48C8" w:rsidP="00AF1592">
      <w:pPr>
        <w:rPr>
          <w:rFonts w:ascii="Times New Roman" w:eastAsia="Times New Roman" w:hAnsi="Times New Roman" w:cs="Times New Roman"/>
          <w:color w:val="000000"/>
          <w:kern w:val="0"/>
          <w:szCs w:val="24"/>
          <w:lang w:eastAsia="en-GB"/>
          <w14:ligatures w14:val="none"/>
        </w:rPr>
      </w:pPr>
      <w:r w:rsidRPr="00AF1592">
        <w:rPr>
          <w:rFonts w:ascii="Times New Roman" w:eastAsia="Times New Roman" w:hAnsi="Times New Roman" w:cs="Times New Roman"/>
          <w:color w:val="000000"/>
          <w:kern w:val="0"/>
          <w:szCs w:val="24"/>
          <w:lang w:eastAsia="en-GB"/>
          <w14:ligatures w14:val="none"/>
        </w:rPr>
        <w:t>Translation</w:t>
      </w:r>
      <w:r w:rsidRPr="00DD48C8">
        <w:rPr>
          <w:rFonts w:ascii="Times New Roman" w:eastAsia="Times New Roman" w:hAnsi="Times New Roman" w:cs="Times New Roman"/>
          <w:color w:val="000000"/>
          <w:kern w:val="0"/>
          <w:szCs w:val="24"/>
          <w:lang w:eastAsia="en-GB"/>
          <w14:ligatures w14:val="none"/>
        </w:rPr>
        <w:t>:</w:t>
      </w:r>
    </w:p>
    <w:p w14:paraId="37DCABF6"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“The eye, form, and visual consciousness: the conjunction of these three is contact.”</w:t>
      </w:r>
    </w:p>
    <w:p w14:paraId="27BDC607" w14:textId="77777777" w:rsid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In tantric dance, every bodily vibration generates contact. The eye perceives gesture or visualization; the ear hears song, rhythm, and mantra; bodily awareness registers movement; consciousness gathers these experiences together.</w:t>
      </w:r>
    </w:p>
    <w:p w14:paraId="2CBE9129" w14:textId="77777777" w:rsidR="00461818" w:rsidRPr="00DD48C8" w:rsidRDefault="00461818" w:rsidP="00AF49A4">
      <w:pPr>
        <w:rPr>
          <w:rFonts w:ascii="Times New Roman" w:eastAsia="Times New Roman" w:hAnsi="Times New Roman" w:cs="Times New Roman"/>
          <w:color w:val="000000"/>
          <w:kern w:val="0"/>
          <w:szCs w:val="24"/>
          <w:lang w:eastAsia="en-GB"/>
          <w14:ligatures w14:val="none"/>
        </w:rPr>
      </w:pPr>
    </w:p>
    <w:p w14:paraId="3662B3DD" w14:textId="77777777" w:rsidR="00DD48C8" w:rsidRP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t>For the ordinary subject, contact generates feeling, and feeling may generate craving. For the tantric practitioner, however, the same contact becomes a doorway into emptiness. If contact is merely the dependent conjunction of conditions, it has no independent essence. Once its emptiness is realized, contact ceases to bind and becomes a threshold of liberation.</w:t>
      </w:r>
    </w:p>
    <w:p w14:paraId="039AFD68" w14:textId="77777777" w:rsidR="00DD48C8" w:rsidRDefault="00DD48C8" w:rsidP="00AF49A4">
      <w:pPr>
        <w:rPr>
          <w:rFonts w:ascii="Times New Roman" w:eastAsia="Times New Roman" w:hAnsi="Times New Roman" w:cs="Times New Roman"/>
          <w:color w:val="000000"/>
          <w:kern w:val="0"/>
          <w:szCs w:val="24"/>
          <w:lang w:eastAsia="en-GB"/>
          <w14:ligatures w14:val="none"/>
        </w:rPr>
      </w:pPr>
      <w:r w:rsidRPr="00DD48C8">
        <w:rPr>
          <w:rFonts w:ascii="Times New Roman" w:eastAsia="Times New Roman" w:hAnsi="Times New Roman" w:cs="Times New Roman"/>
          <w:color w:val="000000"/>
          <w:kern w:val="0"/>
          <w:szCs w:val="24"/>
          <w:lang w:eastAsia="en-GB"/>
          <w14:ligatures w14:val="none"/>
        </w:rPr>
        <w:lastRenderedPageBreak/>
        <w:t>Thus, the </w:t>
      </w:r>
      <w:r w:rsidRPr="00DD48C8">
        <w:rPr>
          <w:rFonts w:ascii="Times New Roman" w:eastAsia="Times New Roman" w:hAnsi="Times New Roman" w:cs="Times New Roman"/>
          <w:i/>
          <w:iCs/>
          <w:color w:val="000000"/>
          <w:kern w:val="0"/>
          <w:szCs w:val="24"/>
          <w:lang w:eastAsia="en-GB"/>
          <w14:ligatures w14:val="none"/>
        </w:rPr>
        <w:t>Abhidharmakośa</w:t>
      </w:r>
      <w:r w:rsidRPr="00DD48C8">
        <w:rPr>
          <w:rFonts w:ascii="Times New Roman" w:eastAsia="Times New Roman" w:hAnsi="Times New Roman" w:cs="Times New Roman"/>
          <w:color w:val="000000"/>
          <w:kern w:val="0"/>
          <w:szCs w:val="24"/>
          <w:lang w:eastAsia="en-GB"/>
          <w14:ligatures w14:val="none"/>
        </w:rPr>
        <w:t> provides not a direct source for tantric dance theory, but a sophisticated analytical vocabulary through which the transformation of sensation may be understood.</w:t>
      </w:r>
    </w:p>
    <w:p w14:paraId="328E58FD" w14:textId="77777777" w:rsidR="00DD48C8" w:rsidRDefault="00DD48C8" w:rsidP="00AF49A4">
      <w:pPr>
        <w:rPr>
          <w:rFonts w:ascii="Times New Roman" w:eastAsia="Times New Roman" w:hAnsi="Times New Roman" w:cs="Times New Roman"/>
          <w:color w:val="000000"/>
          <w:kern w:val="0"/>
          <w:szCs w:val="24"/>
          <w:lang w:eastAsia="en-GB"/>
          <w14:ligatures w14:val="none"/>
        </w:rPr>
      </w:pPr>
    </w:p>
    <w:p w14:paraId="5B810F44" w14:textId="77777777" w:rsidR="00A61754" w:rsidRPr="00461818" w:rsidRDefault="00A61754" w:rsidP="00AF49A4">
      <w:pPr>
        <w:outlineLvl w:val="2"/>
        <w:rPr>
          <w:rFonts w:ascii="Times New Roman" w:eastAsia="Times New Roman" w:hAnsi="Times New Roman" w:cs="Times New Roman"/>
          <w:b/>
          <w:bCs/>
          <w:color w:val="000000"/>
          <w:kern w:val="0"/>
          <w:sz w:val="28"/>
          <w:szCs w:val="28"/>
          <w:lang w:eastAsia="en-GB"/>
          <w14:ligatures w14:val="none"/>
        </w:rPr>
      </w:pPr>
      <w:r w:rsidRPr="00461818">
        <w:rPr>
          <w:rFonts w:ascii="Times New Roman" w:eastAsia="Times New Roman" w:hAnsi="Times New Roman" w:cs="Times New Roman"/>
          <w:b/>
          <w:bCs/>
          <w:color w:val="000000"/>
          <w:kern w:val="0"/>
          <w:sz w:val="28"/>
          <w:szCs w:val="28"/>
          <w:lang w:eastAsia="en-GB"/>
          <w14:ligatures w14:val="none"/>
        </w:rPr>
        <w:t>8.6 Evaluation: Not Direct Influence, but Parallel Conceptual Structures</w:t>
      </w:r>
    </w:p>
    <w:p w14:paraId="01339AB2" w14:textId="77777777" w:rsidR="00A61754" w:rsidRDefault="00A61754" w:rsidP="00AF49A4">
      <w:pPr>
        <w:rPr>
          <w:rFonts w:ascii="Times New Roman" w:eastAsia="Times New Roman" w:hAnsi="Times New Roman" w:cs="Times New Roman"/>
          <w:color w:val="000000"/>
          <w:kern w:val="0"/>
          <w:szCs w:val="24"/>
          <w:lang w:eastAsia="en-GB"/>
          <w14:ligatures w14:val="none"/>
        </w:rPr>
      </w:pPr>
      <w:r w:rsidRPr="00461818">
        <w:rPr>
          <w:rFonts w:ascii="Times New Roman" w:eastAsia="Times New Roman" w:hAnsi="Times New Roman" w:cs="Times New Roman"/>
          <w:color w:val="000000"/>
          <w:kern w:val="0"/>
          <w:sz w:val="28"/>
          <w:szCs w:val="28"/>
          <w:lang w:eastAsia="en-GB"/>
          <w14:ligatures w14:val="none"/>
        </w:rPr>
        <w:t>T</w:t>
      </w:r>
      <w:r w:rsidRPr="00A61754">
        <w:rPr>
          <w:rFonts w:ascii="Times New Roman" w:eastAsia="Times New Roman" w:hAnsi="Times New Roman" w:cs="Times New Roman"/>
          <w:color w:val="000000"/>
          <w:kern w:val="0"/>
          <w:szCs w:val="24"/>
          <w:lang w:eastAsia="en-GB"/>
          <w14:ligatures w14:val="none"/>
        </w:rPr>
        <w:t>he foregoing discussion suggests that the conceptual vocabulary of the </w:t>
      </w:r>
      <w:r w:rsidRPr="00A61754">
        <w:rPr>
          <w:rFonts w:ascii="Times New Roman" w:eastAsia="Times New Roman" w:hAnsi="Times New Roman" w:cs="Times New Roman"/>
          <w:i/>
          <w:iCs/>
          <w:color w:val="000000"/>
          <w:kern w:val="0"/>
          <w:szCs w:val="24"/>
          <w:lang w:eastAsia="en-GB"/>
          <w14:ligatures w14:val="none"/>
        </w:rPr>
        <w:t>Abhidharmakośa</w:t>
      </w:r>
      <w:r w:rsidRPr="00A61754">
        <w:rPr>
          <w:rFonts w:ascii="Times New Roman" w:eastAsia="Times New Roman" w:hAnsi="Times New Roman" w:cs="Times New Roman"/>
          <w:color w:val="000000"/>
          <w:kern w:val="0"/>
          <w:szCs w:val="24"/>
          <w:lang w:eastAsia="en-GB"/>
          <w14:ligatures w14:val="none"/>
        </w:rPr>
        <w:t> provides an illuminating interpretive framework for understanding the embodied ritual aesthetics of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Yet it would be overly simplistic to claim a direct historical line of influence. Rather, the two texts may be understood as parallel Buddhist systems operating within a shared cosmological and psychological horizon while pursuing different methodological goals.</w:t>
      </w:r>
    </w:p>
    <w:p w14:paraId="44DD580E" w14:textId="77777777" w:rsidR="00461818" w:rsidRPr="00A61754" w:rsidRDefault="00461818" w:rsidP="00AF49A4">
      <w:pPr>
        <w:rPr>
          <w:rFonts w:ascii="Times New Roman" w:eastAsia="Times New Roman" w:hAnsi="Times New Roman" w:cs="Times New Roman"/>
          <w:color w:val="000000"/>
          <w:kern w:val="0"/>
          <w:szCs w:val="24"/>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5"/>
        <w:gridCol w:w="3997"/>
        <w:gridCol w:w="3274"/>
      </w:tblGrid>
      <w:tr w:rsidR="00A61754" w:rsidRPr="00A61754" w14:paraId="65E138E7" w14:textId="77777777" w:rsidTr="00C2003E">
        <w:trPr>
          <w:tblHeader/>
          <w:tblCellSpacing w:w="15" w:type="dxa"/>
        </w:trPr>
        <w:tc>
          <w:tcPr>
            <w:tcW w:w="0" w:type="auto"/>
            <w:shd w:val="clear" w:color="auto" w:fill="D9F2D0" w:themeFill="accent6" w:themeFillTint="33"/>
            <w:vAlign w:val="center"/>
            <w:hideMark/>
          </w:tcPr>
          <w:p w14:paraId="33C23CDC"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color w:val="000000"/>
                <w:kern w:val="0"/>
                <w:szCs w:val="24"/>
                <w:lang w:eastAsia="en-GB"/>
                <w14:ligatures w14:val="none"/>
              </w:rPr>
              <w:t>Perspective</w:t>
            </w:r>
          </w:p>
        </w:tc>
        <w:tc>
          <w:tcPr>
            <w:tcW w:w="0" w:type="auto"/>
            <w:shd w:val="clear" w:color="auto" w:fill="D9F2D0" w:themeFill="accent6" w:themeFillTint="33"/>
            <w:vAlign w:val="center"/>
            <w:hideMark/>
          </w:tcPr>
          <w:p w14:paraId="3DA5A57B"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i/>
                <w:iCs/>
                <w:color w:val="000000"/>
                <w:kern w:val="0"/>
                <w:szCs w:val="24"/>
                <w:lang w:eastAsia="en-GB"/>
                <w14:ligatures w14:val="none"/>
              </w:rPr>
              <w:t>Abhidharmakośa</w:t>
            </w:r>
          </w:p>
        </w:tc>
        <w:tc>
          <w:tcPr>
            <w:tcW w:w="0" w:type="auto"/>
            <w:shd w:val="clear" w:color="auto" w:fill="D9F2D0" w:themeFill="accent6" w:themeFillTint="33"/>
            <w:vAlign w:val="center"/>
            <w:hideMark/>
          </w:tcPr>
          <w:p w14:paraId="16CA31B2"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i/>
                <w:iCs/>
                <w:color w:val="000000"/>
                <w:kern w:val="0"/>
                <w:szCs w:val="24"/>
                <w:lang w:eastAsia="en-GB"/>
                <w14:ligatures w14:val="none"/>
              </w:rPr>
              <w:t>Hevajratantra</w:t>
            </w:r>
          </w:p>
        </w:tc>
      </w:tr>
      <w:tr w:rsidR="00A61754" w:rsidRPr="00A61754" w14:paraId="0D77BA06" w14:textId="77777777">
        <w:trPr>
          <w:tblCellSpacing w:w="15" w:type="dxa"/>
        </w:trPr>
        <w:tc>
          <w:tcPr>
            <w:tcW w:w="0" w:type="auto"/>
            <w:vAlign w:val="center"/>
            <w:hideMark/>
          </w:tcPr>
          <w:p w14:paraId="0C50DB73"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Goal</w:t>
            </w:r>
          </w:p>
        </w:tc>
        <w:tc>
          <w:tcPr>
            <w:tcW w:w="0" w:type="auto"/>
            <w:vAlign w:val="center"/>
            <w:hideMark/>
          </w:tcPr>
          <w:p w14:paraId="14FF82FA"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Nirvāṇa and the cessation of afflictions</w:t>
            </w:r>
          </w:p>
        </w:tc>
        <w:tc>
          <w:tcPr>
            <w:tcW w:w="0" w:type="auto"/>
            <w:vAlign w:val="center"/>
            <w:hideMark/>
          </w:tcPr>
          <w:p w14:paraId="29506D24"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Mahāsukha</w:t>
            </w:r>
            <w:r w:rsidRPr="00A61754">
              <w:rPr>
                <w:rFonts w:ascii="Times New Roman" w:eastAsia="Times New Roman" w:hAnsi="Times New Roman" w:cs="Times New Roman"/>
                <w:color w:val="000000"/>
                <w:kern w:val="0"/>
                <w:szCs w:val="24"/>
                <w:lang w:eastAsia="en-GB"/>
                <w14:ligatures w14:val="none"/>
              </w:rPr>
              <w:t> and realization of </w:t>
            </w:r>
            <w:r w:rsidRPr="00A61754">
              <w:rPr>
                <w:rFonts w:ascii="Times New Roman" w:eastAsia="Times New Roman" w:hAnsi="Times New Roman" w:cs="Times New Roman"/>
                <w:i/>
                <w:iCs/>
                <w:color w:val="000000"/>
                <w:kern w:val="0"/>
                <w:szCs w:val="24"/>
                <w:lang w:eastAsia="en-GB"/>
                <w14:ligatures w14:val="none"/>
              </w:rPr>
              <w:t>sahaja</w:t>
            </w:r>
          </w:p>
        </w:tc>
      </w:tr>
      <w:tr w:rsidR="00A61754" w:rsidRPr="00A61754" w14:paraId="7D3B7652" w14:textId="77777777">
        <w:trPr>
          <w:tblCellSpacing w:w="15" w:type="dxa"/>
        </w:trPr>
        <w:tc>
          <w:tcPr>
            <w:tcW w:w="0" w:type="auto"/>
            <w:vAlign w:val="center"/>
            <w:hideMark/>
          </w:tcPr>
          <w:p w14:paraId="452837A5"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Method</w:t>
            </w:r>
          </w:p>
        </w:tc>
        <w:tc>
          <w:tcPr>
            <w:tcW w:w="0" w:type="auto"/>
            <w:vAlign w:val="center"/>
            <w:hideMark/>
          </w:tcPr>
          <w:p w14:paraId="32EB8903"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Analytical knowledge and scholastic reasoning</w:t>
            </w:r>
          </w:p>
        </w:tc>
        <w:tc>
          <w:tcPr>
            <w:tcW w:w="0" w:type="auto"/>
            <w:vAlign w:val="center"/>
            <w:hideMark/>
          </w:tcPr>
          <w:p w14:paraId="10F40A4A"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Ritualized dance, song, and contemplative embodiment</w:t>
            </w:r>
          </w:p>
        </w:tc>
      </w:tr>
      <w:tr w:rsidR="00A61754" w:rsidRPr="00A61754" w14:paraId="7FC9F7B7" w14:textId="77777777">
        <w:trPr>
          <w:tblCellSpacing w:w="15" w:type="dxa"/>
        </w:trPr>
        <w:tc>
          <w:tcPr>
            <w:tcW w:w="0" w:type="auto"/>
            <w:vAlign w:val="center"/>
            <w:hideMark/>
          </w:tcPr>
          <w:p w14:paraId="6D3725E4"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Role of the Body</w:t>
            </w:r>
          </w:p>
        </w:tc>
        <w:tc>
          <w:tcPr>
            <w:tcW w:w="0" w:type="auto"/>
            <w:vAlign w:val="center"/>
            <w:hideMark/>
          </w:tcPr>
          <w:p w14:paraId="77B590A3"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Analyzed as </w:t>
            </w:r>
            <w:r w:rsidRPr="00A61754">
              <w:rPr>
                <w:rFonts w:ascii="Times New Roman" w:eastAsia="Times New Roman" w:hAnsi="Times New Roman" w:cs="Times New Roman"/>
                <w:i/>
                <w:iCs/>
                <w:color w:val="000000"/>
                <w:kern w:val="0"/>
                <w:szCs w:val="24"/>
                <w:lang w:eastAsia="en-GB"/>
                <w14:ligatures w14:val="none"/>
              </w:rPr>
              <w:t>rūpa-skandha</w:t>
            </w:r>
            <w:r w:rsidRPr="00A61754">
              <w:rPr>
                <w:rFonts w:ascii="Times New Roman" w:eastAsia="Times New Roman" w:hAnsi="Times New Roman" w:cs="Times New Roman"/>
                <w:color w:val="000000"/>
                <w:kern w:val="0"/>
                <w:szCs w:val="24"/>
                <w:lang w:eastAsia="en-GB"/>
                <w14:ligatures w14:val="none"/>
              </w:rPr>
              <w:t>; potentially an obstacle though not rejected</w:t>
            </w:r>
          </w:p>
        </w:tc>
        <w:tc>
          <w:tcPr>
            <w:tcW w:w="0" w:type="auto"/>
            <w:vAlign w:val="center"/>
            <w:hideMark/>
          </w:tcPr>
          <w:p w14:paraId="0B7AC45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Primary site of awakening and transformation</w:t>
            </w:r>
          </w:p>
        </w:tc>
      </w:tr>
      <w:tr w:rsidR="00A61754" w:rsidRPr="00A61754" w14:paraId="1632DED5" w14:textId="77777777">
        <w:trPr>
          <w:tblCellSpacing w:w="15" w:type="dxa"/>
        </w:trPr>
        <w:tc>
          <w:tcPr>
            <w:tcW w:w="0" w:type="auto"/>
            <w:vAlign w:val="center"/>
            <w:hideMark/>
          </w:tcPr>
          <w:p w14:paraId="023132B4"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Use of Feeling (</w:t>
            </w:r>
            <w:r w:rsidRPr="00A61754">
              <w:rPr>
                <w:rFonts w:ascii="Times New Roman" w:eastAsia="Times New Roman" w:hAnsi="Times New Roman" w:cs="Times New Roman"/>
                <w:i/>
                <w:iCs/>
                <w:color w:val="000000"/>
                <w:kern w:val="0"/>
                <w:szCs w:val="24"/>
                <w:lang w:eastAsia="en-GB"/>
                <w14:ligatures w14:val="none"/>
              </w:rPr>
              <w:t>vedanā</w:t>
            </w:r>
            <w:r w:rsidRPr="00A61754">
              <w:rPr>
                <w:rFonts w:ascii="Times New Roman" w:eastAsia="Times New Roman" w:hAnsi="Times New Roman" w:cs="Times New Roman"/>
                <w:color w:val="000000"/>
                <w:kern w:val="0"/>
                <w:szCs w:val="24"/>
                <w:lang w:eastAsia="en-GB"/>
                <w14:ligatures w14:val="none"/>
              </w:rPr>
              <w:t>)</w:t>
            </w:r>
          </w:p>
        </w:tc>
        <w:tc>
          <w:tcPr>
            <w:tcW w:w="0" w:type="auto"/>
            <w:vAlign w:val="center"/>
            <w:hideMark/>
          </w:tcPr>
          <w:p w14:paraId="3472C33C"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Feeling is analyzed in order to extinguish craving</w:t>
            </w:r>
          </w:p>
        </w:tc>
        <w:tc>
          <w:tcPr>
            <w:tcW w:w="0" w:type="auto"/>
            <w:vAlign w:val="center"/>
            <w:hideMark/>
          </w:tcPr>
          <w:p w14:paraId="31B8B635"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Feeling is ritualized and transformed into </w:t>
            </w:r>
            <w:r w:rsidRPr="00A61754">
              <w:rPr>
                <w:rFonts w:ascii="Times New Roman" w:eastAsia="Times New Roman" w:hAnsi="Times New Roman" w:cs="Times New Roman"/>
                <w:i/>
                <w:iCs/>
                <w:color w:val="000000"/>
                <w:kern w:val="0"/>
                <w:szCs w:val="24"/>
                <w:lang w:eastAsia="en-GB"/>
                <w14:ligatures w14:val="none"/>
              </w:rPr>
              <w:t>mahāsukha</w:t>
            </w:r>
          </w:p>
        </w:tc>
      </w:tr>
    </w:tbl>
    <w:p w14:paraId="6152F334" w14:textId="77777777" w:rsidR="00AF1592" w:rsidRDefault="00AF1592" w:rsidP="00AF49A4">
      <w:pPr>
        <w:rPr>
          <w:rFonts w:ascii="Times New Roman" w:eastAsia="Times New Roman" w:hAnsi="Times New Roman" w:cs="Times New Roman"/>
          <w:color w:val="000000"/>
          <w:kern w:val="0"/>
          <w:szCs w:val="24"/>
          <w:lang w:eastAsia="en-GB"/>
          <w14:ligatures w14:val="none"/>
        </w:rPr>
      </w:pPr>
    </w:p>
    <w:p w14:paraId="389B411C" w14:textId="1FAA3F81" w:rsid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Thus, the </w:t>
      </w:r>
      <w:r w:rsidRPr="00A61754">
        <w:rPr>
          <w:rFonts w:ascii="Times New Roman" w:eastAsia="Times New Roman" w:hAnsi="Times New Roman" w:cs="Times New Roman"/>
          <w:i/>
          <w:iCs/>
          <w:color w:val="000000"/>
          <w:kern w:val="0"/>
          <w:szCs w:val="24"/>
          <w:lang w:eastAsia="en-GB"/>
          <w14:ligatures w14:val="none"/>
        </w:rPr>
        <w:t>Abhidharmakośa</w:t>
      </w:r>
      <w:r w:rsidRPr="00A61754">
        <w:rPr>
          <w:rFonts w:ascii="Times New Roman" w:eastAsia="Times New Roman" w:hAnsi="Times New Roman" w:cs="Times New Roman"/>
          <w:color w:val="000000"/>
          <w:kern w:val="0"/>
          <w:szCs w:val="24"/>
          <w:lang w:eastAsia="en-GB"/>
          <w14:ligatures w14:val="none"/>
        </w:rPr>
        <w:t> should not be viewed as a direct precursor to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Rather, the two traditions represent distinct Buddhist responses to the problem of embodiment. One seeks liberation primarily through analytical discernment; the other through ritual transformation.</w:t>
      </w:r>
    </w:p>
    <w:p w14:paraId="7B78FDB3" w14:textId="77777777" w:rsidR="00AF1592" w:rsidRPr="00A61754" w:rsidRDefault="00AF1592" w:rsidP="00AF49A4">
      <w:pPr>
        <w:rPr>
          <w:rFonts w:ascii="Times New Roman" w:eastAsia="Times New Roman" w:hAnsi="Times New Roman" w:cs="Times New Roman"/>
          <w:color w:val="000000"/>
          <w:kern w:val="0"/>
          <w:szCs w:val="24"/>
          <w:lang w:eastAsia="en-GB"/>
          <w14:ligatures w14:val="none"/>
        </w:rPr>
      </w:pPr>
    </w:p>
    <w:p w14:paraId="371D9DB3"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Future research may profitably investigate additional commentarial traditions—including the </w:t>
      </w:r>
      <w:r w:rsidRPr="00A61754">
        <w:rPr>
          <w:rFonts w:ascii="Times New Roman" w:eastAsia="Times New Roman" w:hAnsi="Times New Roman" w:cs="Times New Roman"/>
          <w:i/>
          <w:iCs/>
          <w:color w:val="000000"/>
          <w:kern w:val="0"/>
          <w:szCs w:val="24"/>
          <w:lang w:eastAsia="en-GB"/>
          <w14:ligatures w14:val="none"/>
        </w:rPr>
        <w:t>Vibhāṣā</w:t>
      </w:r>
      <w:r w:rsidRPr="00A61754">
        <w:rPr>
          <w:rFonts w:ascii="Times New Roman" w:eastAsia="Times New Roman" w:hAnsi="Times New Roman" w:cs="Times New Roman"/>
          <w:color w:val="000000"/>
          <w:kern w:val="0"/>
          <w:szCs w:val="24"/>
          <w:lang w:eastAsia="en-GB"/>
          <w14:ligatures w14:val="none"/>
        </w:rPr>
        <w:t> literature, the </w:t>
      </w:r>
      <w:r w:rsidRPr="00A61754">
        <w:rPr>
          <w:rFonts w:ascii="Times New Roman" w:eastAsia="Times New Roman" w:hAnsi="Times New Roman" w:cs="Times New Roman"/>
          <w:i/>
          <w:iCs/>
          <w:color w:val="000000"/>
          <w:kern w:val="0"/>
          <w:szCs w:val="24"/>
          <w:lang w:eastAsia="en-GB"/>
          <w14:ligatures w14:val="none"/>
        </w:rPr>
        <w:t>Vajrāvalī</w:t>
      </w:r>
      <w:r w:rsidRPr="00A61754">
        <w:rPr>
          <w:rFonts w:ascii="Times New Roman" w:eastAsia="Times New Roman" w:hAnsi="Times New Roman" w:cs="Times New Roman"/>
          <w:color w:val="000000"/>
          <w:kern w:val="0"/>
          <w:szCs w:val="24"/>
          <w:lang w:eastAsia="en-GB"/>
          <w14:ligatures w14:val="none"/>
        </w:rPr>
        <w:t>, and tantric manuals such as the </w:t>
      </w:r>
      <w:r w:rsidRPr="00A61754">
        <w:rPr>
          <w:rFonts w:ascii="Times New Roman" w:eastAsia="Times New Roman" w:hAnsi="Times New Roman" w:cs="Times New Roman"/>
          <w:i/>
          <w:iCs/>
          <w:color w:val="000000"/>
          <w:kern w:val="0"/>
          <w:szCs w:val="24"/>
          <w:lang w:eastAsia="en-GB"/>
          <w14:ligatures w14:val="none"/>
        </w:rPr>
        <w:t>Ṣaṭcakrayoga</w:t>
      </w:r>
      <w:r w:rsidRPr="00A61754">
        <w:rPr>
          <w:rFonts w:ascii="Times New Roman" w:eastAsia="Times New Roman" w:hAnsi="Times New Roman" w:cs="Times New Roman"/>
          <w:color w:val="000000"/>
          <w:kern w:val="0"/>
          <w:szCs w:val="24"/>
          <w:lang w:eastAsia="en-GB"/>
          <w14:ligatures w14:val="none"/>
        </w:rPr>
        <w:t>—in order to determine whether more explicit conceptual links between Abhidharma psychology and tantric ritual movement can be established.</w:t>
      </w:r>
    </w:p>
    <w:p w14:paraId="06379D4B" w14:textId="5F6192ED" w:rsidR="00A61754" w:rsidRPr="00A61754" w:rsidRDefault="00A61754" w:rsidP="00AF49A4">
      <w:pPr>
        <w:rPr>
          <w:rFonts w:ascii="Times New Roman" w:eastAsia="Times New Roman" w:hAnsi="Times New Roman" w:cs="Times New Roman"/>
          <w:kern w:val="0"/>
          <w:szCs w:val="24"/>
          <w:lang w:eastAsia="en-GB"/>
          <w14:ligatures w14:val="none"/>
        </w:rPr>
      </w:pPr>
    </w:p>
    <w:p w14:paraId="1E9A01BE" w14:textId="77777777" w:rsidR="00A61754" w:rsidRPr="00461818" w:rsidRDefault="00A61754" w:rsidP="00AF49A4">
      <w:pPr>
        <w:outlineLvl w:val="1"/>
        <w:rPr>
          <w:rFonts w:ascii="Times New Roman" w:eastAsia="Times New Roman" w:hAnsi="Times New Roman" w:cs="Times New Roman"/>
          <w:b/>
          <w:bCs/>
          <w:color w:val="000000"/>
          <w:kern w:val="0"/>
          <w:sz w:val="28"/>
          <w:szCs w:val="28"/>
          <w:lang w:eastAsia="en-GB"/>
          <w14:ligatures w14:val="none"/>
        </w:rPr>
      </w:pPr>
      <w:r w:rsidRPr="00461818">
        <w:rPr>
          <w:rFonts w:ascii="Times New Roman" w:eastAsia="Times New Roman" w:hAnsi="Times New Roman" w:cs="Times New Roman"/>
          <w:b/>
          <w:bCs/>
          <w:color w:val="000000"/>
          <w:kern w:val="0"/>
          <w:sz w:val="28"/>
          <w:szCs w:val="28"/>
          <w:lang w:eastAsia="en-GB"/>
          <w14:ligatures w14:val="none"/>
        </w:rPr>
        <w:t>A Further Caution: Reconsidering the Relation between </w:t>
      </w:r>
      <w:r w:rsidRPr="00461818">
        <w:rPr>
          <w:rFonts w:ascii="Times New Roman" w:eastAsia="Times New Roman" w:hAnsi="Times New Roman" w:cs="Times New Roman"/>
          <w:b/>
          <w:bCs/>
          <w:i/>
          <w:iCs/>
          <w:color w:val="000000"/>
          <w:kern w:val="0"/>
          <w:sz w:val="28"/>
          <w:szCs w:val="28"/>
          <w:lang w:eastAsia="en-GB"/>
          <w14:ligatures w14:val="none"/>
        </w:rPr>
        <w:t>Ahetuka Citta</w:t>
      </w:r>
      <w:r w:rsidRPr="00461818">
        <w:rPr>
          <w:rFonts w:ascii="Times New Roman" w:eastAsia="Times New Roman" w:hAnsi="Times New Roman" w:cs="Times New Roman"/>
          <w:b/>
          <w:bCs/>
          <w:color w:val="000000"/>
          <w:kern w:val="0"/>
          <w:sz w:val="28"/>
          <w:szCs w:val="28"/>
          <w:lang w:eastAsia="en-GB"/>
          <w14:ligatures w14:val="none"/>
        </w:rPr>
        <w:t> and </w:t>
      </w:r>
      <w:r w:rsidRPr="00461818">
        <w:rPr>
          <w:rFonts w:ascii="Times New Roman" w:eastAsia="Times New Roman" w:hAnsi="Times New Roman" w:cs="Times New Roman"/>
          <w:b/>
          <w:bCs/>
          <w:i/>
          <w:iCs/>
          <w:color w:val="000000"/>
          <w:kern w:val="0"/>
          <w:sz w:val="28"/>
          <w:szCs w:val="28"/>
          <w:lang w:eastAsia="en-GB"/>
          <w14:ligatures w14:val="none"/>
        </w:rPr>
        <w:t>Alaukika Rasa</w:t>
      </w:r>
    </w:p>
    <w:p w14:paraId="1541920B"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Earlier sections suggested that Abhinavagupta’s notion of </w:t>
      </w:r>
      <w:r w:rsidRPr="00A61754">
        <w:rPr>
          <w:rFonts w:ascii="Times New Roman" w:eastAsia="Times New Roman" w:hAnsi="Times New Roman" w:cs="Times New Roman"/>
          <w:i/>
          <w:iCs/>
          <w:color w:val="000000"/>
          <w:kern w:val="0"/>
          <w:szCs w:val="24"/>
          <w:lang w:eastAsia="en-GB"/>
          <w14:ligatures w14:val="none"/>
        </w:rPr>
        <w:t>alaukika rasa</w:t>
      </w:r>
      <w:r w:rsidRPr="00A61754">
        <w:rPr>
          <w:rFonts w:ascii="Times New Roman" w:eastAsia="Times New Roman" w:hAnsi="Times New Roman" w:cs="Times New Roman"/>
          <w:color w:val="000000"/>
          <w:kern w:val="0"/>
          <w:szCs w:val="24"/>
          <w:lang w:eastAsia="en-GB"/>
          <w14:ligatures w14:val="none"/>
        </w:rPr>
        <w:t> may bear conceptual affinities to the Buddhist notion of </w:t>
      </w:r>
      <w:r w:rsidRPr="00A61754">
        <w:rPr>
          <w:rFonts w:ascii="Times New Roman" w:eastAsia="Times New Roman" w:hAnsi="Times New Roman" w:cs="Times New Roman"/>
          <w:i/>
          <w:iCs/>
          <w:color w:val="000000"/>
          <w:kern w:val="0"/>
          <w:szCs w:val="24"/>
          <w:lang w:eastAsia="en-GB"/>
          <w14:ligatures w14:val="none"/>
        </w:rPr>
        <w:t>ahetuka citta</w:t>
      </w:r>
      <w:r w:rsidRPr="00A61754">
        <w:rPr>
          <w:rFonts w:ascii="Times New Roman" w:eastAsia="Times New Roman" w:hAnsi="Times New Roman" w:cs="Times New Roman"/>
          <w:color w:val="000000"/>
          <w:kern w:val="0"/>
          <w:szCs w:val="24"/>
          <w:lang w:eastAsia="en-GB"/>
          <w14:ligatures w14:val="none"/>
        </w:rPr>
        <w:t>. This comparison is intellectually suggestive, but it remains hypothetical rather than demonstrable.</w:t>
      </w:r>
    </w:p>
    <w:p w14:paraId="4AC25DFA" w14:textId="77777777" w:rsidR="00461818" w:rsidRDefault="00461818" w:rsidP="00AF49A4">
      <w:pPr>
        <w:rPr>
          <w:rFonts w:ascii="Times New Roman" w:eastAsia="Times New Roman" w:hAnsi="Times New Roman" w:cs="Times New Roman"/>
          <w:color w:val="000000"/>
          <w:kern w:val="0"/>
          <w:szCs w:val="24"/>
          <w:lang w:eastAsia="en-GB"/>
          <w14:ligatures w14:val="none"/>
        </w:rPr>
      </w:pPr>
    </w:p>
    <w:p w14:paraId="0F8C766F" w14:textId="7A87E753"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Several limitations must therefore be acknowledged:</w:t>
      </w:r>
    </w:p>
    <w:p w14:paraId="1AA829E9" w14:textId="77777777" w:rsidR="00A61754" w:rsidRPr="00A61754" w:rsidRDefault="00A61754" w:rsidP="00AF49A4">
      <w:pPr>
        <w:numPr>
          <w:ilvl w:val="0"/>
          <w:numId w:val="9"/>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Vasubandhu never explicitly develops an aesthetic theory of rasa;</w:t>
      </w:r>
    </w:p>
    <w:p w14:paraId="405CA237" w14:textId="77777777" w:rsidR="00A61754" w:rsidRPr="00A61754" w:rsidRDefault="00A61754" w:rsidP="00AF49A4">
      <w:pPr>
        <w:numPr>
          <w:ilvl w:val="0"/>
          <w:numId w:val="9"/>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ahetuka citta</w:t>
      </w:r>
      <w:r w:rsidRPr="00A61754">
        <w:rPr>
          <w:rFonts w:ascii="Times New Roman" w:eastAsia="Times New Roman" w:hAnsi="Times New Roman" w:cs="Times New Roman"/>
          <w:color w:val="000000"/>
          <w:kern w:val="0"/>
          <w:szCs w:val="24"/>
          <w:lang w:eastAsia="en-GB"/>
          <w14:ligatures w14:val="none"/>
        </w:rPr>
        <w:t> is discussed primarily within meditative and psychological contexts rather than dramaturgical ones;</w:t>
      </w:r>
    </w:p>
    <w:p w14:paraId="3CC7F844" w14:textId="77777777" w:rsidR="00A61754" w:rsidRPr="00A61754" w:rsidRDefault="00A61754" w:rsidP="00AF49A4">
      <w:pPr>
        <w:numPr>
          <w:ilvl w:val="0"/>
          <w:numId w:val="9"/>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and Abhinavagupta’s </w:t>
      </w:r>
      <w:r w:rsidRPr="00A61754">
        <w:rPr>
          <w:rFonts w:ascii="Times New Roman" w:eastAsia="Times New Roman" w:hAnsi="Times New Roman" w:cs="Times New Roman"/>
          <w:i/>
          <w:iCs/>
          <w:color w:val="000000"/>
          <w:kern w:val="0"/>
          <w:szCs w:val="24"/>
          <w:lang w:eastAsia="en-GB"/>
          <w14:ligatures w14:val="none"/>
        </w:rPr>
        <w:t>Abhinavabhāratī</w:t>
      </w:r>
      <w:r w:rsidRPr="00A61754">
        <w:rPr>
          <w:rFonts w:ascii="Times New Roman" w:eastAsia="Times New Roman" w:hAnsi="Times New Roman" w:cs="Times New Roman"/>
          <w:color w:val="000000"/>
          <w:kern w:val="0"/>
          <w:szCs w:val="24"/>
          <w:lang w:eastAsia="en-GB"/>
          <w14:ligatures w14:val="none"/>
        </w:rPr>
        <w:t> contains no direct citation of the </w:t>
      </w:r>
      <w:r w:rsidRPr="00A61754">
        <w:rPr>
          <w:rFonts w:ascii="Times New Roman" w:eastAsia="Times New Roman" w:hAnsi="Times New Roman" w:cs="Times New Roman"/>
          <w:i/>
          <w:iCs/>
          <w:color w:val="000000"/>
          <w:kern w:val="0"/>
          <w:szCs w:val="24"/>
          <w:lang w:eastAsia="en-GB"/>
          <w14:ligatures w14:val="none"/>
        </w:rPr>
        <w:t>Abhidharmakośa</w:t>
      </w:r>
      <w:r w:rsidRPr="00A61754">
        <w:rPr>
          <w:rFonts w:ascii="Times New Roman" w:eastAsia="Times New Roman" w:hAnsi="Times New Roman" w:cs="Times New Roman"/>
          <w:color w:val="000000"/>
          <w:kern w:val="0"/>
          <w:szCs w:val="24"/>
          <w:lang w:eastAsia="en-GB"/>
          <w14:ligatures w14:val="none"/>
        </w:rPr>
        <w:t>.</w:t>
      </w:r>
    </w:p>
    <w:p w14:paraId="5E8C0BD6"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Nevertheless, the conceptual convergence remains important enough to merit further study. The intersection between Indian aesthetic theory and Buddhist philosophy of mind remains insufficiently explored within current scholarship.</w:t>
      </w:r>
    </w:p>
    <w:p w14:paraId="3DAF075B" w14:textId="1A2D855A" w:rsidR="00A61754" w:rsidRPr="00A61754" w:rsidRDefault="00A61754" w:rsidP="00AF49A4">
      <w:pPr>
        <w:rPr>
          <w:rFonts w:ascii="Times New Roman" w:eastAsia="Times New Roman" w:hAnsi="Times New Roman" w:cs="Times New Roman"/>
          <w:kern w:val="0"/>
          <w:szCs w:val="24"/>
          <w:lang w:eastAsia="en-GB"/>
          <w14:ligatures w14:val="none"/>
        </w:rPr>
      </w:pPr>
    </w:p>
    <w:p w14:paraId="7EB9F623" w14:textId="77777777" w:rsidR="00A61754" w:rsidRPr="00461818" w:rsidRDefault="00A61754" w:rsidP="00AF49A4">
      <w:pPr>
        <w:outlineLvl w:val="1"/>
        <w:rPr>
          <w:rFonts w:ascii="Times New Roman" w:eastAsia="Times New Roman" w:hAnsi="Times New Roman" w:cs="Times New Roman"/>
          <w:b/>
          <w:bCs/>
          <w:color w:val="000000"/>
          <w:kern w:val="0"/>
          <w:szCs w:val="24"/>
          <w:lang w:eastAsia="en-GB"/>
          <w14:ligatures w14:val="none"/>
        </w:rPr>
      </w:pPr>
      <w:r w:rsidRPr="00461818">
        <w:rPr>
          <w:rFonts w:ascii="Times New Roman" w:eastAsia="Times New Roman" w:hAnsi="Times New Roman" w:cs="Times New Roman"/>
          <w:b/>
          <w:bCs/>
          <w:color w:val="000000"/>
          <w:kern w:val="0"/>
          <w:szCs w:val="24"/>
          <w:lang w:eastAsia="en-GB"/>
          <w14:ligatures w14:val="none"/>
        </w:rPr>
        <w:lastRenderedPageBreak/>
        <w:t>Summary Table: Possible Bridges between the </w:t>
      </w:r>
      <w:r w:rsidRPr="00461818">
        <w:rPr>
          <w:rFonts w:ascii="Times New Roman" w:eastAsia="Times New Roman" w:hAnsi="Times New Roman" w:cs="Times New Roman"/>
          <w:b/>
          <w:bCs/>
          <w:i/>
          <w:iCs/>
          <w:color w:val="000000"/>
          <w:kern w:val="0"/>
          <w:szCs w:val="24"/>
          <w:lang w:eastAsia="en-GB"/>
          <w14:ligatures w14:val="none"/>
        </w:rPr>
        <w:t>Abhidharmakośa</w:t>
      </w:r>
      <w:r w:rsidRPr="00461818">
        <w:rPr>
          <w:rFonts w:ascii="Times New Roman" w:eastAsia="Times New Roman" w:hAnsi="Times New Roman" w:cs="Times New Roman"/>
          <w:b/>
          <w:bCs/>
          <w:color w:val="000000"/>
          <w:kern w:val="0"/>
          <w:szCs w:val="24"/>
          <w:lang w:eastAsia="en-GB"/>
          <w14:ligatures w14:val="none"/>
        </w:rPr>
        <w:t> and the Embodied Aesthetics of the </w:t>
      </w:r>
      <w:r w:rsidRPr="00461818">
        <w:rPr>
          <w:rFonts w:ascii="Times New Roman" w:eastAsia="Times New Roman" w:hAnsi="Times New Roman" w:cs="Times New Roman"/>
          <w:b/>
          <w:bCs/>
          <w:i/>
          <w:iCs/>
          <w:color w:val="000000"/>
          <w:kern w:val="0"/>
          <w:szCs w:val="24"/>
          <w:lang w:eastAsia="en-GB"/>
          <w14:ligatures w14:val="none"/>
        </w:rPr>
        <w:t>Hevajratantra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9"/>
        <w:gridCol w:w="3516"/>
        <w:gridCol w:w="4021"/>
      </w:tblGrid>
      <w:tr w:rsidR="00A61754" w:rsidRPr="00A61754" w14:paraId="3A8152E9" w14:textId="77777777" w:rsidTr="00AF1592">
        <w:trPr>
          <w:tblHeader/>
          <w:tblCellSpacing w:w="15" w:type="dxa"/>
        </w:trPr>
        <w:tc>
          <w:tcPr>
            <w:tcW w:w="0" w:type="auto"/>
            <w:shd w:val="clear" w:color="auto" w:fill="D9F2D0" w:themeFill="accent6" w:themeFillTint="33"/>
            <w:vAlign w:val="center"/>
            <w:hideMark/>
          </w:tcPr>
          <w:p w14:paraId="3F2492E1"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color w:val="000000"/>
                <w:kern w:val="0"/>
                <w:szCs w:val="24"/>
                <w:lang w:eastAsia="en-GB"/>
                <w14:ligatures w14:val="none"/>
              </w:rPr>
              <w:t>Concept</w:t>
            </w:r>
          </w:p>
        </w:tc>
        <w:tc>
          <w:tcPr>
            <w:tcW w:w="0" w:type="auto"/>
            <w:shd w:val="clear" w:color="auto" w:fill="D9F2D0" w:themeFill="accent6" w:themeFillTint="33"/>
            <w:vAlign w:val="center"/>
            <w:hideMark/>
          </w:tcPr>
          <w:p w14:paraId="79238672"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color w:val="000000"/>
                <w:kern w:val="0"/>
                <w:szCs w:val="24"/>
                <w:lang w:eastAsia="en-GB"/>
                <w14:ligatures w14:val="none"/>
              </w:rPr>
              <w:t>Simplified Definition</w:t>
            </w:r>
          </w:p>
        </w:tc>
        <w:tc>
          <w:tcPr>
            <w:tcW w:w="0" w:type="auto"/>
            <w:shd w:val="clear" w:color="auto" w:fill="D9F2D0" w:themeFill="accent6" w:themeFillTint="33"/>
            <w:vAlign w:val="center"/>
            <w:hideMark/>
          </w:tcPr>
          <w:p w14:paraId="62E9B2E8" w14:textId="77777777" w:rsidR="00A61754" w:rsidRPr="00A61754" w:rsidRDefault="00A61754" w:rsidP="00AF49A4">
            <w:pPr>
              <w:jc w:val="center"/>
              <w:rPr>
                <w:rFonts w:ascii="Times New Roman" w:eastAsia="Times New Roman" w:hAnsi="Times New Roman" w:cs="Times New Roman"/>
                <w:b/>
                <w:bCs/>
                <w:color w:val="000000"/>
                <w:kern w:val="0"/>
                <w:szCs w:val="24"/>
                <w:lang w:eastAsia="en-GB"/>
                <w14:ligatures w14:val="none"/>
              </w:rPr>
            </w:pPr>
            <w:r w:rsidRPr="00A61754">
              <w:rPr>
                <w:rFonts w:ascii="Times New Roman" w:eastAsia="Times New Roman" w:hAnsi="Times New Roman" w:cs="Times New Roman"/>
                <w:b/>
                <w:bCs/>
                <w:color w:val="000000"/>
                <w:kern w:val="0"/>
                <w:szCs w:val="24"/>
                <w:lang w:eastAsia="en-GB"/>
                <w14:ligatures w14:val="none"/>
              </w:rPr>
              <w:t>Possible Application in the Dance Praxis of the </w:t>
            </w:r>
            <w:r w:rsidRPr="00A61754">
              <w:rPr>
                <w:rFonts w:ascii="Times New Roman" w:eastAsia="Times New Roman" w:hAnsi="Times New Roman" w:cs="Times New Roman"/>
                <w:b/>
                <w:bCs/>
                <w:i/>
                <w:iCs/>
                <w:color w:val="000000"/>
                <w:kern w:val="0"/>
                <w:szCs w:val="24"/>
                <w:lang w:eastAsia="en-GB"/>
                <w14:ligatures w14:val="none"/>
              </w:rPr>
              <w:t>Hevajratantra</w:t>
            </w:r>
          </w:p>
        </w:tc>
      </w:tr>
      <w:tr w:rsidR="00A61754" w:rsidRPr="00A61754" w14:paraId="1DBDCE25" w14:textId="77777777">
        <w:trPr>
          <w:tblCellSpacing w:w="15" w:type="dxa"/>
        </w:trPr>
        <w:tc>
          <w:tcPr>
            <w:tcW w:w="0" w:type="auto"/>
            <w:vAlign w:val="center"/>
            <w:hideMark/>
          </w:tcPr>
          <w:p w14:paraId="0E568C5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Manopavicāra</w:t>
            </w:r>
          </w:p>
        </w:tc>
        <w:tc>
          <w:tcPr>
            <w:tcW w:w="0" w:type="auto"/>
            <w:vAlign w:val="center"/>
            <w:hideMark/>
          </w:tcPr>
          <w:p w14:paraId="2951A079"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Eighteen forms of mental movement through sensory engagement</w:t>
            </w:r>
          </w:p>
        </w:tc>
        <w:tc>
          <w:tcPr>
            <w:tcW w:w="0" w:type="auto"/>
            <w:vAlign w:val="center"/>
            <w:hideMark/>
          </w:tcPr>
          <w:p w14:paraId="3B85F968"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Observing each sensory-affective movement arising during ritual dance</w:t>
            </w:r>
          </w:p>
        </w:tc>
      </w:tr>
      <w:tr w:rsidR="00A61754" w:rsidRPr="00A61754" w14:paraId="563B8ACF" w14:textId="77777777">
        <w:trPr>
          <w:tblCellSpacing w:w="15" w:type="dxa"/>
        </w:trPr>
        <w:tc>
          <w:tcPr>
            <w:tcW w:w="0" w:type="auto"/>
            <w:vAlign w:val="center"/>
            <w:hideMark/>
          </w:tcPr>
          <w:p w14:paraId="159A203C"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Ahetuka Citta</w:t>
            </w:r>
          </w:p>
        </w:tc>
        <w:tc>
          <w:tcPr>
            <w:tcW w:w="0" w:type="auto"/>
            <w:vAlign w:val="center"/>
            <w:hideMark/>
          </w:tcPr>
          <w:p w14:paraId="54D35984"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Rootless consciousness not driven by greed, hatred, or delusion</w:t>
            </w:r>
          </w:p>
        </w:tc>
        <w:tc>
          <w:tcPr>
            <w:tcW w:w="0" w:type="auto"/>
            <w:vAlign w:val="center"/>
            <w:hideMark/>
          </w:tcPr>
          <w:p w14:paraId="4B1DEDE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Ground for experiencing dance as transpersonal or “non-worldly” bliss</w:t>
            </w:r>
          </w:p>
        </w:tc>
      </w:tr>
      <w:tr w:rsidR="00A61754" w:rsidRPr="00A61754" w14:paraId="0AC76913" w14:textId="77777777">
        <w:trPr>
          <w:tblCellSpacing w:w="15" w:type="dxa"/>
        </w:trPr>
        <w:tc>
          <w:tcPr>
            <w:tcW w:w="0" w:type="auto"/>
            <w:vAlign w:val="center"/>
            <w:hideMark/>
          </w:tcPr>
          <w:p w14:paraId="4548F846"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Sparśa</w:t>
            </w:r>
          </w:p>
        </w:tc>
        <w:tc>
          <w:tcPr>
            <w:tcW w:w="0" w:type="auto"/>
            <w:vAlign w:val="center"/>
            <w:hideMark/>
          </w:tcPr>
          <w:p w14:paraId="1B695D7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Contact arising from the conjunction of sense faculty, object, and consciousness</w:t>
            </w:r>
          </w:p>
        </w:tc>
        <w:tc>
          <w:tcPr>
            <w:tcW w:w="0" w:type="auto"/>
            <w:vAlign w:val="center"/>
            <w:hideMark/>
          </w:tcPr>
          <w:p w14:paraId="34325A85"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Ritualized sensory engagement through movement, sound, and visualization</w:t>
            </w:r>
          </w:p>
        </w:tc>
      </w:tr>
      <w:tr w:rsidR="00A61754" w:rsidRPr="00A61754" w14:paraId="61155139" w14:textId="77777777">
        <w:trPr>
          <w:tblCellSpacing w:w="15" w:type="dxa"/>
        </w:trPr>
        <w:tc>
          <w:tcPr>
            <w:tcW w:w="0" w:type="auto"/>
            <w:vAlign w:val="center"/>
            <w:hideMark/>
          </w:tcPr>
          <w:p w14:paraId="1F16BFB1"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Cetanā</w:t>
            </w:r>
          </w:p>
        </w:tc>
        <w:tc>
          <w:tcPr>
            <w:tcW w:w="0" w:type="auto"/>
            <w:vAlign w:val="center"/>
            <w:hideMark/>
          </w:tcPr>
          <w:p w14:paraId="46C4AF35"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Intention or volitional orientation</w:t>
            </w:r>
          </w:p>
        </w:tc>
        <w:tc>
          <w:tcPr>
            <w:tcW w:w="0" w:type="auto"/>
            <w:vAlign w:val="center"/>
            <w:hideMark/>
          </w:tcPr>
          <w:p w14:paraId="02827028"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Transforming dance into contemplative and liberative action</w:t>
            </w:r>
          </w:p>
        </w:tc>
      </w:tr>
      <w:tr w:rsidR="00A61754" w:rsidRPr="00A61754" w14:paraId="602CAA1C" w14:textId="77777777">
        <w:trPr>
          <w:tblCellSpacing w:w="15" w:type="dxa"/>
        </w:trPr>
        <w:tc>
          <w:tcPr>
            <w:tcW w:w="0" w:type="auto"/>
            <w:vAlign w:val="center"/>
            <w:hideMark/>
          </w:tcPr>
          <w:p w14:paraId="09D9D56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Kāyavijñapti</w:t>
            </w:r>
          </w:p>
        </w:tc>
        <w:tc>
          <w:tcPr>
            <w:tcW w:w="0" w:type="auto"/>
            <w:vAlign w:val="center"/>
            <w:hideMark/>
          </w:tcPr>
          <w:p w14:paraId="04DB69F1"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Bodily intimation; the expression of intention through the body</w:t>
            </w:r>
          </w:p>
        </w:tc>
        <w:tc>
          <w:tcPr>
            <w:tcW w:w="0" w:type="auto"/>
            <w:vAlign w:val="center"/>
            <w:hideMark/>
          </w:tcPr>
          <w:p w14:paraId="707C0084"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Understanding dance as embodied ritual disclosure</w:t>
            </w:r>
          </w:p>
        </w:tc>
      </w:tr>
      <w:tr w:rsidR="00A61754" w:rsidRPr="00A61754" w14:paraId="207A7464" w14:textId="77777777">
        <w:trPr>
          <w:tblCellSpacing w:w="15" w:type="dxa"/>
        </w:trPr>
        <w:tc>
          <w:tcPr>
            <w:tcW w:w="0" w:type="auto"/>
            <w:vAlign w:val="center"/>
            <w:hideMark/>
          </w:tcPr>
          <w:p w14:paraId="2C86CC1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i/>
                <w:iCs/>
                <w:color w:val="000000"/>
                <w:kern w:val="0"/>
                <w:szCs w:val="24"/>
                <w:lang w:eastAsia="en-GB"/>
                <w14:ligatures w14:val="none"/>
              </w:rPr>
              <w:t>Vedanā</w:t>
            </w:r>
          </w:p>
        </w:tc>
        <w:tc>
          <w:tcPr>
            <w:tcW w:w="0" w:type="auto"/>
            <w:vAlign w:val="center"/>
            <w:hideMark/>
          </w:tcPr>
          <w:p w14:paraId="4A4F5E20"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Feeling: pleasure, pain, or neutrality</w:t>
            </w:r>
          </w:p>
        </w:tc>
        <w:tc>
          <w:tcPr>
            <w:tcW w:w="0" w:type="auto"/>
            <w:vAlign w:val="center"/>
            <w:hideMark/>
          </w:tcPr>
          <w:p w14:paraId="61DAC312" w14:textId="77777777"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Transforming sensory feeling into </w:t>
            </w:r>
            <w:r w:rsidRPr="00A61754">
              <w:rPr>
                <w:rFonts w:ascii="Times New Roman" w:eastAsia="Times New Roman" w:hAnsi="Times New Roman" w:cs="Times New Roman"/>
                <w:i/>
                <w:iCs/>
                <w:color w:val="000000"/>
                <w:kern w:val="0"/>
                <w:szCs w:val="24"/>
                <w:lang w:eastAsia="en-GB"/>
                <w14:ligatures w14:val="none"/>
              </w:rPr>
              <w:t>mahāsukha</w:t>
            </w:r>
            <w:r w:rsidRPr="00A61754">
              <w:rPr>
                <w:rFonts w:ascii="Times New Roman" w:eastAsia="Times New Roman" w:hAnsi="Times New Roman" w:cs="Times New Roman"/>
                <w:color w:val="000000"/>
                <w:kern w:val="0"/>
                <w:szCs w:val="24"/>
                <w:lang w:eastAsia="en-GB"/>
                <w14:ligatures w14:val="none"/>
              </w:rPr>
              <w:t>through ritual practice</w:t>
            </w:r>
          </w:p>
        </w:tc>
      </w:tr>
    </w:tbl>
    <w:p w14:paraId="0965F080" w14:textId="77777777" w:rsidR="00461818" w:rsidRDefault="00461818" w:rsidP="00AF49A4">
      <w:pPr>
        <w:rPr>
          <w:rFonts w:ascii="Times New Roman" w:eastAsia="Times New Roman" w:hAnsi="Times New Roman" w:cs="Times New Roman"/>
          <w:color w:val="000000"/>
          <w:kern w:val="0"/>
          <w:szCs w:val="24"/>
          <w:lang w:eastAsia="en-GB"/>
          <w14:ligatures w14:val="none"/>
        </w:rPr>
      </w:pPr>
    </w:p>
    <w:p w14:paraId="14CFD48E" w14:textId="1D9C1F35"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This table does not argue that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directly borrowed these concepts from the </w:t>
      </w:r>
      <w:r w:rsidRPr="00A61754">
        <w:rPr>
          <w:rFonts w:ascii="Times New Roman" w:eastAsia="Times New Roman" w:hAnsi="Times New Roman" w:cs="Times New Roman"/>
          <w:i/>
          <w:iCs/>
          <w:color w:val="000000"/>
          <w:kern w:val="0"/>
          <w:szCs w:val="24"/>
          <w:lang w:eastAsia="en-GB"/>
          <w14:ligatures w14:val="none"/>
        </w:rPr>
        <w:t>Abhidharmakośa</w:t>
      </w:r>
      <w:r w:rsidRPr="00A61754">
        <w:rPr>
          <w:rFonts w:ascii="Times New Roman" w:eastAsia="Times New Roman" w:hAnsi="Times New Roman" w:cs="Times New Roman"/>
          <w:color w:val="000000"/>
          <w:kern w:val="0"/>
          <w:szCs w:val="24"/>
          <w:lang w:eastAsia="en-GB"/>
          <w14:ligatures w14:val="none"/>
        </w:rPr>
        <w:t>. Rather, it demonstrates that these two Buddhist traditions—one analytical and scholastic, the other ritual and tantric—share a broader conceptual vocabulary concerning mind, body, sensation, and liberation.</w:t>
      </w:r>
    </w:p>
    <w:p w14:paraId="649FF2E7" w14:textId="77777777" w:rsidR="00461818" w:rsidRDefault="00461818" w:rsidP="00AF49A4">
      <w:pPr>
        <w:rPr>
          <w:rFonts w:ascii="Times New Roman" w:eastAsia="Times New Roman" w:hAnsi="Times New Roman" w:cs="Times New Roman"/>
          <w:color w:val="000000"/>
          <w:kern w:val="0"/>
          <w:szCs w:val="24"/>
          <w:lang w:eastAsia="en-GB"/>
          <w14:ligatures w14:val="none"/>
        </w:rPr>
      </w:pPr>
    </w:p>
    <w:p w14:paraId="041A1638" w14:textId="26C8137A" w:rsidR="00A61754" w:rsidRP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Such a comparative reading deepens the central argument of this essay: namely, that the aesthetics of bodily movement in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must be understood through the combined lenses of dependent origination, embodiment, ritual transformation, and contemplative practice.</w:t>
      </w:r>
    </w:p>
    <w:p w14:paraId="77D31285" w14:textId="48450069" w:rsidR="00A61754" w:rsidRPr="00A61754" w:rsidRDefault="00A61754" w:rsidP="00C86712">
      <w:pPr>
        <w:rPr>
          <w:rFonts w:ascii="Times New Roman" w:eastAsia="Times New Roman" w:hAnsi="Times New Roman" w:cs="Times New Roman"/>
          <w:kern w:val="0"/>
          <w:szCs w:val="24"/>
          <w:lang w:eastAsia="en-GB"/>
          <w14:ligatures w14:val="none"/>
        </w:rPr>
      </w:pPr>
    </w:p>
    <w:p w14:paraId="777A70A6" w14:textId="77777777" w:rsidR="00A61754" w:rsidRPr="00461818" w:rsidRDefault="00A61754" w:rsidP="00C86712">
      <w:pPr>
        <w:outlineLvl w:val="1"/>
        <w:rPr>
          <w:rFonts w:ascii="Times New Roman" w:eastAsia="Times New Roman" w:hAnsi="Times New Roman" w:cs="Times New Roman"/>
          <w:b/>
          <w:bCs/>
          <w:color w:val="000000"/>
          <w:kern w:val="0"/>
          <w:sz w:val="28"/>
          <w:szCs w:val="28"/>
          <w:lang w:eastAsia="en-GB"/>
          <w14:ligatures w14:val="none"/>
        </w:rPr>
      </w:pPr>
      <w:r w:rsidRPr="00461818">
        <w:rPr>
          <w:rFonts w:ascii="Times New Roman" w:eastAsia="Times New Roman" w:hAnsi="Times New Roman" w:cs="Times New Roman"/>
          <w:b/>
          <w:bCs/>
          <w:color w:val="000000"/>
          <w:kern w:val="0"/>
          <w:sz w:val="28"/>
          <w:szCs w:val="28"/>
          <w:lang w:eastAsia="en-GB"/>
          <w14:ligatures w14:val="none"/>
        </w:rPr>
        <w:t>9. Conclusion: Performed Liberation Is Not the Silence of Withdrawal</w:t>
      </w:r>
    </w:p>
    <w:p w14:paraId="2F408592" w14:textId="77777777" w:rsid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Under the overwhelming authority of the </w:t>
      </w:r>
      <w:r w:rsidRPr="00A61754">
        <w:rPr>
          <w:rFonts w:ascii="Times New Roman" w:eastAsia="Times New Roman" w:hAnsi="Times New Roman" w:cs="Times New Roman"/>
          <w:i/>
          <w:iCs/>
          <w:color w:val="000000"/>
          <w:kern w:val="0"/>
          <w:szCs w:val="24"/>
          <w:lang w:eastAsia="en-GB"/>
          <w14:ligatures w14:val="none"/>
        </w:rPr>
        <w:t>Nāṭyaśāstra</w:t>
      </w:r>
      <w:r w:rsidRPr="00A61754">
        <w:rPr>
          <w:rFonts w:ascii="Times New Roman" w:eastAsia="Times New Roman" w:hAnsi="Times New Roman" w:cs="Times New Roman"/>
          <w:color w:val="000000"/>
          <w:kern w:val="0"/>
          <w:szCs w:val="24"/>
          <w:lang w:eastAsia="en-GB"/>
          <w14:ligatures w14:val="none"/>
        </w:rPr>
        <w:t>,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survives as a marginal yet radical voice within South Asian aesthetic and ritual history. That voice declares that dance and song are not distractions from liberation; they are themselves vehicles of liberation.</w:t>
      </w:r>
    </w:p>
    <w:p w14:paraId="3125298A" w14:textId="77777777" w:rsidR="00461818" w:rsidRPr="00A61754" w:rsidRDefault="00461818" w:rsidP="00C86712">
      <w:pPr>
        <w:rPr>
          <w:rFonts w:ascii="Times New Roman" w:eastAsia="Times New Roman" w:hAnsi="Times New Roman" w:cs="Times New Roman"/>
          <w:color w:val="000000"/>
          <w:kern w:val="0"/>
          <w:szCs w:val="24"/>
          <w:lang w:eastAsia="en-GB"/>
          <w14:ligatures w14:val="none"/>
        </w:rPr>
      </w:pPr>
    </w:p>
    <w:p w14:paraId="5950EFDB" w14:textId="77777777" w:rsid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states:</w:t>
      </w:r>
    </w:p>
    <w:p w14:paraId="344AE6E2" w14:textId="77777777" w:rsidR="00C86712" w:rsidRPr="00C86712" w:rsidRDefault="00C86712" w:rsidP="00C86712">
      <w:pPr>
        <w:pStyle w:val="NormalWeb"/>
        <w:spacing w:before="0" w:beforeAutospacing="0" w:after="0" w:afterAutospacing="0"/>
        <w:rPr>
          <w:rFonts w:cs="Mangal"/>
          <w:b/>
          <w:bCs/>
          <w:color w:val="000000"/>
          <w:lang w:bidi="hi-IN"/>
        </w:rPr>
      </w:pPr>
      <w:r w:rsidRPr="00C86712">
        <w:rPr>
          <w:rFonts w:cs="Mangal"/>
          <w:b/>
          <w:bCs/>
          <w:color w:val="000000"/>
          <w:cs/>
          <w:lang w:bidi="hi-IN"/>
        </w:rPr>
        <w:t xml:space="preserve">मन्त्रविशुद्ध्या स्थितता गीता नर्तना भावना स्मृता । </w:t>
      </w:r>
    </w:p>
    <w:p w14:paraId="375237A6" w14:textId="6A5AB126" w:rsidR="00C86712" w:rsidRPr="00C86712" w:rsidRDefault="00C86712" w:rsidP="00C86712">
      <w:pPr>
        <w:pStyle w:val="NormalWeb"/>
        <w:spacing w:before="0" w:beforeAutospacing="0" w:after="0" w:afterAutospacing="0"/>
        <w:rPr>
          <w:b/>
          <w:bCs/>
          <w:color w:val="000000"/>
        </w:rPr>
      </w:pPr>
      <w:r w:rsidRPr="00C86712">
        <w:rPr>
          <w:rFonts w:cs="Mangal"/>
          <w:b/>
          <w:bCs/>
          <w:color w:val="000000"/>
          <w:cs/>
          <w:lang w:bidi="hi-IN"/>
        </w:rPr>
        <w:t>तस्माद् गीतं नृत्यं कुर्याद् योगी सदा सदा ॥ १३ ॥</w:t>
      </w:r>
    </w:p>
    <w:p w14:paraId="21650ED6" w14:textId="31B303CE" w:rsidR="00C86712" w:rsidRPr="00A61754" w:rsidRDefault="00C86712" w:rsidP="00C86712">
      <w:pPr>
        <w:rPr>
          <w:rFonts w:ascii="Times New Roman" w:eastAsia="Times New Roman" w:hAnsi="Times New Roman" w:cs="Times New Roman"/>
          <w:color w:val="000000"/>
          <w:kern w:val="0"/>
          <w:szCs w:val="24"/>
          <w:lang w:eastAsia="en-GB"/>
          <w14:ligatures w14:val="none"/>
        </w:rPr>
      </w:pPr>
      <w:r>
        <w:rPr>
          <w:rFonts w:ascii="Times New Roman" w:eastAsia="Times New Roman" w:hAnsi="Times New Roman" w:cs="Times New Roman"/>
          <w:color w:val="000000"/>
          <w:kern w:val="0"/>
          <w:szCs w:val="24"/>
          <w:lang w:eastAsia="en-GB"/>
          <w14:ligatures w14:val="none"/>
        </w:rPr>
        <w:t>Transliteration</w:t>
      </w:r>
    </w:p>
    <w:p w14:paraId="110E78C8" w14:textId="77777777" w:rsidR="00A61754" w:rsidRP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mantraviśuddhyā\ sthitatā\ gītā\ nartanā\ bhāvanā\ smṛtā\tasmād\ gītaṃ\ nṛtyaṃ\ kuryād\ yogī\ sadā\ sadā</w:t>
      </w:r>
    </w:p>
    <w:p w14:paraId="733C4A6C" w14:textId="77777777" w:rsidR="00A61754" w:rsidRP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Translation:</w:t>
      </w:r>
    </w:p>
    <w:p w14:paraId="6B001328" w14:textId="77777777" w:rsidR="00A61754" w:rsidRPr="00A61754" w:rsidRDefault="00A61754" w:rsidP="00C86712">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“When established in the purified state of mantra, song and dance are remembered as contemplative practice. Therefore, the yogī should continually engage in song and dance.”</w:t>
      </w:r>
    </w:p>
    <w:p w14:paraId="4F091FA9" w14:textId="77777777" w:rsidR="00C86712" w:rsidRDefault="00C86712" w:rsidP="00AF49A4">
      <w:pPr>
        <w:rPr>
          <w:rFonts w:ascii="Times New Roman" w:eastAsia="Times New Roman" w:hAnsi="Times New Roman" w:cs="Times New Roman"/>
          <w:color w:val="000000"/>
          <w:kern w:val="0"/>
          <w:szCs w:val="24"/>
          <w:lang w:eastAsia="en-GB"/>
          <w14:ligatures w14:val="none"/>
        </w:rPr>
      </w:pPr>
    </w:p>
    <w:p w14:paraId="7CEBE462" w14:textId="1110DD5E"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lastRenderedPageBreak/>
        <w:t>Through the lens of </w:t>
      </w:r>
      <w:r w:rsidRPr="00A61754">
        <w:rPr>
          <w:rFonts w:ascii="Times New Roman" w:eastAsia="Times New Roman" w:hAnsi="Times New Roman" w:cs="Times New Roman"/>
          <w:i/>
          <w:iCs/>
          <w:color w:val="000000"/>
          <w:kern w:val="0"/>
          <w:szCs w:val="24"/>
          <w:lang w:eastAsia="en-GB"/>
          <w14:ligatures w14:val="none"/>
        </w:rPr>
        <w:t>pratītyasamutpāda</w:t>
      </w:r>
      <w:r w:rsidRPr="00A61754">
        <w:rPr>
          <w:rFonts w:ascii="Times New Roman" w:eastAsia="Times New Roman" w:hAnsi="Times New Roman" w:cs="Times New Roman"/>
          <w:color w:val="000000"/>
          <w:kern w:val="0"/>
          <w:szCs w:val="24"/>
          <w:lang w:eastAsia="en-GB"/>
          <w14:ligatures w14:val="none"/>
        </w:rPr>
        <w:t>, even this dance is revealed as impermanent and empty. It is not an eternal aesthetic truth but a contingent experiential formation arising through specific conditions:</w:t>
      </w:r>
    </w:p>
    <w:p w14:paraId="00A57160" w14:textId="77777777" w:rsidR="00A61754" w:rsidRPr="00A61754" w:rsidRDefault="00A61754" w:rsidP="00AF49A4">
      <w:pPr>
        <w:numPr>
          <w:ilvl w:val="0"/>
          <w:numId w:val="10"/>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mantra,</w:t>
      </w:r>
    </w:p>
    <w:p w14:paraId="65FB2765" w14:textId="77777777" w:rsidR="00A61754" w:rsidRPr="00A61754" w:rsidRDefault="00A61754" w:rsidP="00AF49A4">
      <w:pPr>
        <w:numPr>
          <w:ilvl w:val="0"/>
          <w:numId w:val="10"/>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guru,</w:t>
      </w:r>
    </w:p>
    <w:p w14:paraId="6F233E62" w14:textId="77777777" w:rsidR="00A61754" w:rsidRPr="00A61754" w:rsidRDefault="00A61754" w:rsidP="00AF49A4">
      <w:pPr>
        <w:numPr>
          <w:ilvl w:val="0"/>
          <w:numId w:val="10"/>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initiation,</w:t>
      </w:r>
    </w:p>
    <w:p w14:paraId="361D2219" w14:textId="77777777" w:rsidR="00A61754" w:rsidRPr="00A61754" w:rsidRDefault="00A61754" w:rsidP="00AF49A4">
      <w:pPr>
        <w:numPr>
          <w:ilvl w:val="0"/>
          <w:numId w:val="10"/>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discipline,</w:t>
      </w:r>
    </w:p>
    <w:p w14:paraId="16B1F386" w14:textId="77777777" w:rsidR="00A61754" w:rsidRPr="00A61754" w:rsidRDefault="00A61754" w:rsidP="00AF49A4">
      <w:pPr>
        <w:numPr>
          <w:ilvl w:val="0"/>
          <w:numId w:val="10"/>
        </w:num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and ritual context.</w:t>
      </w:r>
    </w:p>
    <w:p w14:paraId="0FF0457A" w14:textId="77777777" w:rsidR="00C86712" w:rsidRDefault="00C86712" w:rsidP="00AF49A4">
      <w:pPr>
        <w:rPr>
          <w:rFonts w:ascii="Times New Roman" w:eastAsia="Times New Roman" w:hAnsi="Times New Roman" w:cs="Times New Roman"/>
          <w:color w:val="000000"/>
          <w:kern w:val="0"/>
          <w:szCs w:val="24"/>
          <w:lang w:eastAsia="en-GB"/>
          <w14:ligatures w14:val="none"/>
        </w:rPr>
      </w:pPr>
    </w:p>
    <w:p w14:paraId="43D8185F" w14:textId="2C107F4C" w:rsidR="00A61754" w:rsidRP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Tantric transgression and ecstasy are therefore strategic rather than anarchic. The ritual movement described in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is not mass spectacle but esoteric praxis. Scriptural authority is not destroyed; rather, authority shifts toward direct embodied realization.</w:t>
      </w:r>
    </w:p>
    <w:p w14:paraId="542BD34C" w14:textId="77777777" w:rsid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This essay does not claim to establish a final or definitive interpretation of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It instead attempts to map a series of possible conceptual pathways through which tantric dance, ritual embodiment, contemplative movement, and Buddhist philosophy may be brought into dialogue.</w:t>
      </w:r>
    </w:p>
    <w:p w14:paraId="728D4586" w14:textId="77777777" w:rsidR="00C86712" w:rsidRPr="00A61754" w:rsidRDefault="00C86712" w:rsidP="00AF49A4">
      <w:pPr>
        <w:rPr>
          <w:rFonts w:ascii="Times New Roman" w:eastAsia="Times New Roman" w:hAnsi="Times New Roman" w:cs="Times New Roman"/>
          <w:color w:val="000000"/>
          <w:kern w:val="0"/>
          <w:szCs w:val="24"/>
          <w:lang w:eastAsia="en-GB"/>
          <w14:ligatures w14:val="none"/>
        </w:rPr>
      </w:pPr>
    </w:p>
    <w:p w14:paraId="3055DBD5" w14:textId="77777777" w:rsidR="00A61754" w:rsidRDefault="00A61754" w:rsidP="00AF49A4">
      <w:pPr>
        <w:rPr>
          <w:rFonts w:ascii="Times New Roman" w:eastAsia="Times New Roman" w:hAnsi="Times New Roman" w:cs="Times New Roman"/>
          <w:color w:val="000000"/>
          <w:kern w:val="0"/>
          <w:szCs w:val="24"/>
          <w:lang w:eastAsia="en-GB"/>
          <w14:ligatures w14:val="none"/>
        </w:rPr>
      </w:pPr>
      <w:r w:rsidRPr="00A61754">
        <w:rPr>
          <w:rFonts w:ascii="Times New Roman" w:eastAsia="Times New Roman" w:hAnsi="Times New Roman" w:cs="Times New Roman"/>
          <w:color w:val="000000"/>
          <w:kern w:val="0"/>
          <w:szCs w:val="24"/>
          <w:lang w:eastAsia="en-GB"/>
          <w14:ligatures w14:val="none"/>
        </w:rPr>
        <w:t>The ongoing Bengali translation project of the </w:t>
      </w:r>
      <w:r w:rsidRPr="00A61754">
        <w:rPr>
          <w:rFonts w:ascii="Times New Roman" w:eastAsia="Times New Roman" w:hAnsi="Times New Roman" w:cs="Times New Roman"/>
          <w:i/>
          <w:iCs/>
          <w:color w:val="000000"/>
          <w:kern w:val="0"/>
          <w:szCs w:val="24"/>
          <w:lang w:eastAsia="en-GB"/>
          <w14:ligatures w14:val="none"/>
        </w:rPr>
        <w:t>Hevajratantra</w:t>
      </w:r>
      <w:r w:rsidRPr="00A61754">
        <w:rPr>
          <w:rFonts w:ascii="Times New Roman" w:eastAsia="Times New Roman" w:hAnsi="Times New Roman" w:cs="Times New Roman"/>
          <w:color w:val="000000"/>
          <w:kern w:val="0"/>
          <w:szCs w:val="24"/>
          <w:lang w:eastAsia="en-GB"/>
          <w14:ligatures w14:val="none"/>
        </w:rPr>
        <w:t> will, it is hoped, contribute further to these conversations by opening this important tantric text to a wider intellectual and cultural readership.</w:t>
      </w:r>
    </w:p>
    <w:p w14:paraId="57289034" w14:textId="77777777" w:rsidR="00A204DE" w:rsidRPr="00A61754" w:rsidRDefault="00A204DE" w:rsidP="00AF49A4">
      <w:pPr>
        <w:rPr>
          <w:rFonts w:ascii="Times New Roman" w:eastAsia="Times New Roman" w:hAnsi="Times New Roman" w:cs="Times New Roman"/>
          <w:color w:val="000000"/>
          <w:kern w:val="0"/>
          <w:szCs w:val="24"/>
          <w:lang w:eastAsia="en-GB"/>
          <w14:ligatures w14:val="none"/>
        </w:rPr>
      </w:pPr>
    </w:p>
    <w:p w14:paraId="29504331" w14:textId="77777777" w:rsidR="00DD48C8" w:rsidRDefault="00DD48C8" w:rsidP="00AF49A4">
      <w:pPr>
        <w:rPr>
          <w:rFonts w:ascii="Times New Roman" w:eastAsia="Times New Roman" w:hAnsi="Times New Roman" w:cs="Times New Roman"/>
          <w:color w:val="000000"/>
          <w:kern w:val="0"/>
          <w:szCs w:val="24"/>
          <w:lang w:eastAsia="en-GB"/>
          <w14:ligatures w14:val="none"/>
        </w:rPr>
      </w:pPr>
    </w:p>
    <w:p w14:paraId="697F43D2" w14:textId="77777777" w:rsidR="00952680" w:rsidRPr="00A204DE" w:rsidRDefault="00952680" w:rsidP="00AF49A4">
      <w:pPr>
        <w:outlineLvl w:val="0"/>
        <w:rPr>
          <w:rFonts w:ascii="Times New Roman" w:eastAsia="Times New Roman" w:hAnsi="Times New Roman" w:cs="Times New Roman"/>
          <w:b/>
          <w:bCs/>
          <w:color w:val="000000"/>
          <w:kern w:val="36"/>
          <w:sz w:val="28"/>
          <w:szCs w:val="28"/>
          <w:lang w:eastAsia="en-GB"/>
          <w14:ligatures w14:val="none"/>
        </w:rPr>
      </w:pPr>
      <w:r w:rsidRPr="00A204DE">
        <w:rPr>
          <w:rFonts w:ascii="Times New Roman" w:eastAsia="Times New Roman" w:hAnsi="Times New Roman" w:cs="Times New Roman"/>
          <w:b/>
          <w:bCs/>
          <w:color w:val="000000"/>
          <w:kern w:val="36"/>
          <w:sz w:val="28"/>
          <w:szCs w:val="28"/>
          <w:lang w:eastAsia="en-GB"/>
          <w14:ligatures w14:val="none"/>
        </w:rPr>
        <w:t>Bibliography</w:t>
      </w:r>
    </w:p>
    <w:p w14:paraId="56581609" w14:textId="77777777" w:rsidR="00952680" w:rsidRPr="00952680" w:rsidRDefault="00952680" w:rsidP="00AF49A4">
      <w:pPr>
        <w:outlineLvl w:val="2"/>
        <w:rPr>
          <w:rFonts w:ascii="Times New Roman" w:eastAsia="Times New Roman" w:hAnsi="Times New Roman" w:cs="Times New Roman"/>
          <w:b/>
          <w:bCs/>
          <w:color w:val="000000"/>
          <w:kern w:val="0"/>
          <w:sz w:val="27"/>
          <w:szCs w:val="27"/>
          <w:lang w:eastAsia="en-GB"/>
          <w14:ligatures w14:val="none"/>
        </w:rPr>
      </w:pPr>
      <w:r w:rsidRPr="00952680">
        <w:rPr>
          <w:rFonts w:ascii="Times New Roman" w:eastAsia="Times New Roman" w:hAnsi="Times New Roman" w:cs="Times New Roman"/>
          <w:b/>
          <w:bCs/>
          <w:color w:val="000000"/>
          <w:kern w:val="0"/>
          <w:sz w:val="27"/>
          <w:szCs w:val="27"/>
          <w:lang w:eastAsia="en-GB"/>
          <w14:ligatures w14:val="none"/>
        </w:rPr>
        <w:t>Primary Sources</w:t>
      </w:r>
    </w:p>
    <w:p w14:paraId="0C52450B"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Hevajratantra</w:t>
      </w:r>
    </w:p>
    <w:p w14:paraId="4B2F6E71"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Abhinavagupta. 1992. </w:t>
      </w:r>
      <w:r w:rsidRPr="00952680">
        <w:rPr>
          <w:rFonts w:ascii="Times New Roman" w:eastAsia="Times New Roman" w:hAnsi="Times New Roman" w:cs="Times New Roman"/>
          <w:i/>
          <w:iCs/>
          <w:color w:val="000000"/>
          <w:kern w:val="0"/>
          <w:szCs w:val="24"/>
          <w:lang w:eastAsia="en-GB"/>
          <w14:ligatures w14:val="none"/>
        </w:rPr>
        <w:t>Abhinavabhāratī: Commentary on Bharata’s Nāṭyaśāstra</w:t>
      </w:r>
      <w:r w:rsidRPr="00952680">
        <w:rPr>
          <w:rFonts w:ascii="Times New Roman" w:eastAsia="Times New Roman" w:hAnsi="Times New Roman" w:cs="Times New Roman"/>
          <w:color w:val="000000"/>
          <w:kern w:val="0"/>
          <w:szCs w:val="24"/>
          <w:lang w:eastAsia="en-GB"/>
          <w14:ligatures w14:val="none"/>
        </w:rPr>
        <w:t>. Edited by M. Ramakrishna Kavi. Reprint edition. Baroda: Oriental Institute. (Original publication 1926–1964).</w:t>
      </w:r>
    </w:p>
    <w:p w14:paraId="75ACCEC6"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Bharata. Various editions. </w:t>
      </w:r>
      <w:r w:rsidRPr="00952680">
        <w:rPr>
          <w:rFonts w:ascii="Times New Roman" w:eastAsia="Times New Roman" w:hAnsi="Times New Roman" w:cs="Times New Roman"/>
          <w:i/>
          <w:iCs/>
          <w:color w:val="000000"/>
          <w:kern w:val="0"/>
          <w:szCs w:val="24"/>
          <w:lang w:eastAsia="en-GB"/>
          <w14:ligatures w14:val="none"/>
        </w:rPr>
        <w:t>Nāṭyaśāstra</w:t>
      </w:r>
      <w:r w:rsidRPr="00952680">
        <w:rPr>
          <w:rFonts w:ascii="Times New Roman" w:eastAsia="Times New Roman" w:hAnsi="Times New Roman" w:cs="Times New Roman"/>
          <w:color w:val="000000"/>
          <w:kern w:val="0"/>
          <w:szCs w:val="24"/>
          <w:lang w:eastAsia="en-GB"/>
          <w14:ligatures w14:val="none"/>
        </w:rPr>
        <w:t>.</w:t>
      </w:r>
    </w:p>
    <w:p w14:paraId="01856716"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Dāśgupta, Śaśibhūṣaṇ. 1946. </w:t>
      </w:r>
      <w:r w:rsidRPr="00952680">
        <w:rPr>
          <w:rFonts w:ascii="Times New Roman" w:eastAsia="Times New Roman" w:hAnsi="Times New Roman" w:cs="Times New Roman"/>
          <w:i/>
          <w:iCs/>
          <w:color w:val="000000"/>
          <w:kern w:val="0"/>
          <w:szCs w:val="24"/>
          <w:lang w:eastAsia="en-GB"/>
          <w14:ligatures w14:val="none"/>
        </w:rPr>
        <w:t>Siddhācāryyapada</w:t>
      </w:r>
      <w:r w:rsidRPr="00952680">
        <w:rPr>
          <w:rFonts w:ascii="Times New Roman" w:eastAsia="Times New Roman" w:hAnsi="Times New Roman" w:cs="Times New Roman"/>
          <w:color w:val="000000"/>
          <w:kern w:val="0"/>
          <w:szCs w:val="24"/>
          <w:lang w:eastAsia="en-GB"/>
          <w14:ligatures w14:val="none"/>
        </w:rPr>
        <w:t>. Calcutta.</w:t>
      </w:r>
    </w:p>
    <w:p w14:paraId="75D072B5"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Nyaupane, Kāśīnath, ed. 2009. </w:t>
      </w:r>
      <w:r w:rsidRPr="00952680">
        <w:rPr>
          <w:rFonts w:ascii="Times New Roman" w:eastAsia="Times New Roman" w:hAnsi="Times New Roman" w:cs="Times New Roman"/>
          <w:i/>
          <w:iCs/>
          <w:color w:val="000000"/>
          <w:kern w:val="0"/>
          <w:szCs w:val="24"/>
          <w:lang w:eastAsia="en-GB"/>
          <w14:ligatures w14:val="none"/>
        </w:rPr>
        <w:t>Hevajratantram: Sanskrit Text with Hindi Translation</w:t>
      </w:r>
      <w:r w:rsidRPr="00952680">
        <w:rPr>
          <w:rFonts w:ascii="Times New Roman" w:eastAsia="Times New Roman" w:hAnsi="Times New Roman" w:cs="Times New Roman"/>
          <w:color w:val="000000"/>
          <w:kern w:val="0"/>
          <w:szCs w:val="24"/>
          <w:lang w:eastAsia="en-GB"/>
          <w14:ligatures w14:val="none"/>
        </w:rPr>
        <w:t>. Varanasi: Indic Books.</w:t>
      </w:r>
    </w:p>
    <w:p w14:paraId="58CD810A"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Snellgrove, David L., trans. 1959. </w:t>
      </w:r>
      <w:r w:rsidRPr="00952680">
        <w:rPr>
          <w:rFonts w:ascii="Times New Roman" w:eastAsia="Times New Roman" w:hAnsi="Times New Roman" w:cs="Times New Roman"/>
          <w:i/>
          <w:iCs/>
          <w:color w:val="000000"/>
          <w:kern w:val="0"/>
          <w:szCs w:val="24"/>
          <w:lang w:eastAsia="en-GB"/>
          <w14:ligatures w14:val="none"/>
        </w:rPr>
        <w:t>The Hevajra Tantra: A Critical Study</w:t>
      </w:r>
      <w:r w:rsidRPr="00952680">
        <w:rPr>
          <w:rFonts w:ascii="Times New Roman" w:eastAsia="Times New Roman" w:hAnsi="Times New Roman" w:cs="Times New Roman"/>
          <w:color w:val="000000"/>
          <w:kern w:val="0"/>
          <w:szCs w:val="24"/>
          <w:lang w:eastAsia="en-GB"/>
          <w14:ligatures w14:val="none"/>
        </w:rPr>
        <w:t>. 2 vols. London: Oxford University Press.</w:t>
      </w:r>
    </w:p>
    <w:p w14:paraId="5EDC489A"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Vasubandhu. </w:t>
      </w:r>
      <w:r w:rsidRPr="00952680">
        <w:rPr>
          <w:rFonts w:ascii="Times New Roman" w:eastAsia="Times New Roman" w:hAnsi="Times New Roman" w:cs="Times New Roman"/>
          <w:i/>
          <w:iCs/>
          <w:color w:val="000000"/>
          <w:kern w:val="0"/>
          <w:szCs w:val="24"/>
          <w:lang w:eastAsia="en-GB"/>
          <w14:ligatures w14:val="none"/>
        </w:rPr>
        <w:t>Abhidharmakośabhāṣya</w:t>
      </w:r>
      <w:r w:rsidRPr="00952680">
        <w:rPr>
          <w:rFonts w:ascii="Times New Roman" w:eastAsia="Times New Roman" w:hAnsi="Times New Roman" w:cs="Times New Roman"/>
          <w:color w:val="000000"/>
          <w:kern w:val="0"/>
          <w:szCs w:val="24"/>
          <w:lang w:eastAsia="en-GB"/>
          <w14:ligatures w14:val="none"/>
        </w:rPr>
        <w:t>. Various editions and translations.</w:t>
      </w:r>
    </w:p>
    <w:p w14:paraId="43DA3255" w14:textId="3228B7AA" w:rsidR="00952680" w:rsidRPr="00952680" w:rsidRDefault="00952680" w:rsidP="00AF49A4">
      <w:pPr>
        <w:rPr>
          <w:rFonts w:ascii="Times New Roman" w:eastAsia="Times New Roman" w:hAnsi="Times New Roman" w:cs="Times New Roman"/>
          <w:kern w:val="0"/>
          <w:szCs w:val="24"/>
          <w:lang w:eastAsia="en-GB"/>
          <w14:ligatures w14:val="none"/>
        </w:rPr>
      </w:pPr>
    </w:p>
    <w:p w14:paraId="24C9C06C" w14:textId="77777777" w:rsidR="00952680" w:rsidRPr="00952680" w:rsidRDefault="00952680" w:rsidP="00AF49A4">
      <w:pPr>
        <w:outlineLvl w:val="2"/>
        <w:rPr>
          <w:rFonts w:ascii="Times New Roman" w:eastAsia="Times New Roman" w:hAnsi="Times New Roman" w:cs="Times New Roman"/>
          <w:b/>
          <w:bCs/>
          <w:color w:val="000000"/>
          <w:kern w:val="0"/>
          <w:sz w:val="27"/>
          <w:szCs w:val="27"/>
          <w:lang w:eastAsia="en-GB"/>
          <w14:ligatures w14:val="none"/>
        </w:rPr>
      </w:pPr>
      <w:r w:rsidRPr="00952680">
        <w:rPr>
          <w:rFonts w:ascii="Times New Roman" w:eastAsia="Times New Roman" w:hAnsi="Times New Roman" w:cs="Times New Roman"/>
          <w:b/>
          <w:bCs/>
          <w:color w:val="000000"/>
          <w:kern w:val="0"/>
          <w:sz w:val="27"/>
          <w:szCs w:val="27"/>
          <w:lang w:eastAsia="en-GB"/>
          <w14:ligatures w14:val="none"/>
        </w:rPr>
        <w:t>Secondary Sources</w:t>
      </w:r>
    </w:p>
    <w:p w14:paraId="6AE7A508"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Archie J. Bahm</w:t>
      </w:r>
    </w:p>
    <w:p w14:paraId="53B30DC7"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Bahm, Archie J. 1957. “Buddhist Aesthetics.” </w:t>
      </w:r>
      <w:r w:rsidRPr="00952680">
        <w:rPr>
          <w:rFonts w:ascii="Times New Roman" w:eastAsia="Times New Roman" w:hAnsi="Times New Roman" w:cs="Times New Roman"/>
          <w:i/>
          <w:iCs/>
          <w:color w:val="000000"/>
          <w:kern w:val="0"/>
          <w:szCs w:val="24"/>
          <w:lang w:eastAsia="en-GB"/>
          <w14:ligatures w14:val="none"/>
        </w:rPr>
        <w:t>The Journal of Aesthetics and Art Criticism</w:t>
      </w:r>
      <w:r w:rsidRPr="00952680">
        <w:rPr>
          <w:rFonts w:ascii="Times New Roman" w:eastAsia="Times New Roman" w:hAnsi="Times New Roman" w:cs="Times New Roman"/>
          <w:color w:val="000000"/>
          <w:kern w:val="0"/>
          <w:szCs w:val="24"/>
          <w:lang w:eastAsia="en-GB"/>
          <w14:ligatures w14:val="none"/>
        </w:rPr>
        <w:t> 16 (2): 249–252.</w:t>
      </w:r>
    </w:p>
    <w:p w14:paraId="17247E76"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Catherine Bell</w:t>
      </w:r>
    </w:p>
    <w:p w14:paraId="6E142F4F"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Bell, Catherine. 1992. </w:t>
      </w:r>
      <w:r w:rsidRPr="00952680">
        <w:rPr>
          <w:rFonts w:ascii="Times New Roman" w:eastAsia="Times New Roman" w:hAnsi="Times New Roman" w:cs="Times New Roman"/>
          <w:i/>
          <w:iCs/>
          <w:color w:val="000000"/>
          <w:kern w:val="0"/>
          <w:szCs w:val="24"/>
          <w:lang w:eastAsia="en-GB"/>
          <w14:ligatures w14:val="none"/>
        </w:rPr>
        <w:t>Ritual Theory, Ritual Practice</w:t>
      </w:r>
      <w:r w:rsidRPr="00952680">
        <w:rPr>
          <w:rFonts w:ascii="Times New Roman" w:eastAsia="Times New Roman" w:hAnsi="Times New Roman" w:cs="Times New Roman"/>
          <w:color w:val="000000"/>
          <w:kern w:val="0"/>
          <w:szCs w:val="24"/>
          <w:lang w:eastAsia="en-GB"/>
          <w14:ligatures w14:val="none"/>
        </w:rPr>
        <w:t>. New York: Oxford University Press.</w:t>
      </w:r>
    </w:p>
    <w:p w14:paraId="1767DD9E"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Chakravarty, Pallabi. 2022. “The Body in Yoga and Dance: The Sacred and the Profane in Modern India.” In </w:t>
      </w:r>
      <w:r w:rsidRPr="00952680">
        <w:rPr>
          <w:rFonts w:ascii="Times New Roman" w:eastAsia="Times New Roman" w:hAnsi="Times New Roman" w:cs="Times New Roman"/>
          <w:i/>
          <w:iCs/>
          <w:color w:val="000000"/>
          <w:kern w:val="0"/>
          <w:szCs w:val="24"/>
          <w:lang w:eastAsia="en-GB"/>
          <w14:ligatures w14:val="none"/>
        </w:rPr>
        <w:t>Ritual, Performance and the Body</w:t>
      </w:r>
      <w:r w:rsidRPr="00952680">
        <w:rPr>
          <w:rFonts w:ascii="Times New Roman" w:eastAsia="Times New Roman" w:hAnsi="Times New Roman" w:cs="Times New Roman"/>
          <w:color w:val="000000"/>
          <w:kern w:val="0"/>
          <w:szCs w:val="24"/>
          <w:lang w:eastAsia="en-GB"/>
          <w14:ligatures w14:val="none"/>
        </w:rPr>
        <w:t>, edited by Aruṇa Brahma and Sunil Krishna, 85–108. New Delhi: Sage Publications.</w:t>
      </w:r>
    </w:p>
    <w:p w14:paraId="06ADA9E1"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Thomas J. Csordas</w:t>
      </w:r>
    </w:p>
    <w:p w14:paraId="4F5AC80C"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Csordas, Thomas J., ed. 1994. </w:t>
      </w:r>
      <w:r w:rsidRPr="00952680">
        <w:rPr>
          <w:rFonts w:ascii="Times New Roman" w:eastAsia="Times New Roman" w:hAnsi="Times New Roman" w:cs="Times New Roman"/>
          <w:i/>
          <w:iCs/>
          <w:color w:val="000000"/>
          <w:kern w:val="0"/>
          <w:szCs w:val="24"/>
          <w:lang w:eastAsia="en-GB"/>
          <w14:ligatures w14:val="none"/>
        </w:rPr>
        <w:t>Embodiment and Experience: The Existential Ground of Culture and Self</w:t>
      </w:r>
      <w:r w:rsidRPr="00952680">
        <w:rPr>
          <w:rFonts w:ascii="Times New Roman" w:eastAsia="Times New Roman" w:hAnsi="Times New Roman" w:cs="Times New Roman"/>
          <w:color w:val="000000"/>
          <w:kern w:val="0"/>
          <w:szCs w:val="24"/>
          <w:lang w:eastAsia="en-GB"/>
          <w14:ligatures w14:val="none"/>
        </w:rPr>
        <w:t>. Cambridge: Cambridge University Press.</w:t>
      </w:r>
    </w:p>
    <w:p w14:paraId="68B94DBF"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Lawrence, David Peter. 2013. </w:t>
      </w:r>
      <w:r w:rsidRPr="00952680">
        <w:rPr>
          <w:rFonts w:ascii="Times New Roman" w:eastAsia="Times New Roman" w:hAnsi="Times New Roman" w:cs="Times New Roman"/>
          <w:i/>
          <w:iCs/>
          <w:color w:val="000000"/>
          <w:kern w:val="0"/>
          <w:szCs w:val="24"/>
          <w:lang w:eastAsia="en-GB"/>
          <w14:ligatures w14:val="none"/>
        </w:rPr>
        <w:t>The Disclosure of Śakti in Aesthetics: Śāntarasa and Abhinavagupta’s Philosophy of Art</w:t>
      </w:r>
      <w:r w:rsidRPr="00952680">
        <w:rPr>
          <w:rFonts w:ascii="Times New Roman" w:eastAsia="Times New Roman" w:hAnsi="Times New Roman" w:cs="Times New Roman"/>
          <w:color w:val="000000"/>
          <w:kern w:val="0"/>
          <w:szCs w:val="24"/>
          <w:lang w:eastAsia="en-GB"/>
          <w14:ligatures w14:val="none"/>
        </w:rPr>
        <w:t>. Albany: State University of New York Press.</w:t>
      </w:r>
    </w:p>
    <w:p w14:paraId="27E88CFA"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lastRenderedPageBreak/>
        <w:t>Sāṅkṛtyāyana, Rahul. 1949. </w:t>
      </w:r>
      <w:r w:rsidRPr="00952680">
        <w:rPr>
          <w:rFonts w:ascii="Times New Roman" w:eastAsia="Times New Roman" w:hAnsi="Times New Roman" w:cs="Times New Roman"/>
          <w:i/>
          <w:iCs/>
          <w:color w:val="000000"/>
          <w:kern w:val="0"/>
          <w:szCs w:val="24"/>
          <w:lang w:eastAsia="en-GB"/>
          <w14:ligatures w14:val="none"/>
        </w:rPr>
        <w:t>Bauddha Caryāpada</w:t>
      </w:r>
      <w:r w:rsidRPr="00952680">
        <w:rPr>
          <w:rFonts w:ascii="Times New Roman" w:eastAsia="Times New Roman" w:hAnsi="Times New Roman" w:cs="Times New Roman"/>
          <w:color w:val="000000"/>
          <w:kern w:val="0"/>
          <w:szCs w:val="24"/>
          <w:lang w:eastAsia="en-GB"/>
          <w14:ligatures w14:val="none"/>
        </w:rPr>
        <w:t>. Patna.</w:t>
      </w:r>
    </w:p>
    <w:p w14:paraId="1F751E93"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Richard Schechner</w:t>
      </w:r>
    </w:p>
    <w:p w14:paraId="6B22B961"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Schechner, Richard. 1985. </w:t>
      </w:r>
      <w:r w:rsidRPr="00952680">
        <w:rPr>
          <w:rFonts w:ascii="Times New Roman" w:eastAsia="Times New Roman" w:hAnsi="Times New Roman" w:cs="Times New Roman"/>
          <w:i/>
          <w:iCs/>
          <w:color w:val="000000"/>
          <w:kern w:val="0"/>
          <w:szCs w:val="24"/>
          <w:lang w:eastAsia="en-GB"/>
          <w14:ligatures w14:val="none"/>
        </w:rPr>
        <w:t>Between Theater and Anthropology</w:t>
      </w:r>
      <w:r w:rsidRPr="00952680">
        <w:rPr>
          <w:rFonts w:ascii="Times New Roman" w:eastAsia="Times New Roman" w:hAnsi="Times New Roman" w:cs="Times New Roman"/>
          <w:color w:val="000000"/>
          <w:kern w:val="0"/>
          <w:szCs w:val="24"/>
          <w:lang w:eastAsia="en-GB"/>
          <w14:ligatures w14:val="none"/>
        </w:rPr>
        <w:t>. Philadelphia: University of Pennsylvania Press.</w:t>
      </w:r>
    </w:p>
    <w:p w14:paraId="2E2E9F1F" w14:textId="77777777" w:rsidR="00952680" w:rsidRP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Victor Turner</w:t>
      </w:r>
    </w:p>
    <w:p w14:paraId="4D9B3CDB" w14:textId="77777777" w:rsidR="00952680" w:rsidRDefault="00952680" w:rsidP="00AF49A4">
      <w:pPr>
        <w:rPr>
          <w:rFonts w:ascii="Times New Roman" w:eastAsia="Times New Roman" w:hAnsi="Times New Roman" w:cs="Times New Roman"/>
          <w:color w:val="000000"/>
          <w:kern w:val="0"/>
          <w:szCs w:val="24"/>
          <w:lang w:eastAsia="en-GB"/>
          <w14:ligatures w14:val="none"/>
        </w:rPr>
      </w:pPr>
      <w:r w:rsidRPr="00952680">
        <w:rPr>
          <w:rFonts w:ascii="Times New Roman" w:eastAsia="Times New Roman" w:hAnsi="Times New Roman" w:cs="Times New Roman"/>
          <w:color w:val="000000"/>
          <w:kern w:val="0"/>
          <w:szCs w:val="24"/>
          <w:lang w:eastAsia="en-GB"/>
          <w14:ligatures w14:val="none"/>
        </w:rPr>
        <w:t>Turner, Victor. 1969. </w:t>
      </w:r>
      <w:r w:rsidRPr="00952680">
        <w:rPr>
          <w:rFonts w:ascii="Times New Roman" w:eastAsia="Times New Roman" w:hAnsi="Times New Roman" w:cs="Times New Roman"/>
          <w:i/>
          <w:iCs/>
          <w:color w:val="000000"/>
          <w:kern w:val="0"/>
          <w:szCs w:val="24"/>
          <w:lang w:eastAsia="en-GB"/>
          <w14:ligatures w14:val="none"/>
        </w:rPr>
        <w:t>The Ritual Process: Structure and Anti-Structure</w:t>
      </w:r>
      <w:r w:rsidRPr="00952680">
        <w:rPr>
          <w:rFonts w:ascii="Times New Roman" w:eastAsia="Times New Roman" w:hAnsi="Times New Roman" w:cs="Times New Roman"/>
          <w:color w:val="000000"/>
          <w:kern w:val="0"/>
          <w:szCs w:val="24"/>
          <w:lang w:eastAsia="en-GB"/>
          <w14:ligatures w14:val="none"/>
        </w:rPr>
        <w:t>. Chicago: Aldine Publishing.</w:t>
      </w:r>
    </w:p>
    <w:p w14:paraId="5294C6D4" w14:textId="77777777" w:rsidR="00A96FB6" w:rsidRDefault="00A96FB6" w:rsidP="00AF49A4">
      <w:pPr>
        <w:rPr>
          <w:rFonts w:ascii="Times New Roman" w:eastAsia="Times New Roman" w:hAnsi="Times New Roman" w:cs="Times New Roman"/>
          <w:color w:val="000000"/>
          <w:kern w:val="0"/>
          <w:szCs w:val="24"/>
          <w:lang w:eastAsia="en-GB"/>
          <w14:ligatures w14:val="none"/>
        </w:rPr>
      </w:pPr>
    </w:p>
    <w:p w14:paraId="6EB87A29" w14:textId="6F429434" w:rsidR="00A96FB6" w:rsidRPr="003B6BC0" w:rsidRDefault="00A96FB6" w:rsidP="00A96FB6">
      <w:pPr>
        <w:outlineLvl w:val="2"/>
        <w:rPr>
          <w:rFonts w:ascii="Times New Roman" w:eastAsia="Times New Roman" w:hAnsi="Times New Roman" w:cs="Times New Roman"/>
          <w:b/>
          <w:bCs/>
          <w:color w:val="000000"/>
          <w:kern w:val="0"/>
          <w:szCs w:val="24"/>
          <w:lang w:eastAsia="en-GB"/>
          <w14:ligatures w14:val="none"/>
        </w:rPr>
      </w:pPr>
      <w:r w:rsidRPr="003B6BC0">
        <w:rPr>
          <w:rFonts w:ascii="Times New Roman" w:eastAsia="Times New Roman" w:hAnsi="Times New Roman" w:cs="Times New Roman"/>
          <w:b/>
          <w:bCs/>
          <w:color w:val="000000"/>
          <w:kern w:val="0"/>
          <w:szCs w:val="24"/>
          <w:lang w:eastAsia="en-GB"/>
          <w14:ligatures w14:val="none"/>
        </w:rPr>
        <w:t xml:space="preserve">Additional bibliography </w:t>
      </w:r>
    </w:p>
    <w:p w14:paraId="3633572E"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Davidson, Ronald M. 2002. </w:t>
      </w:r>
      <w:r w:rsidRPr="003B6BC0">
        <w:rPr>
          <w:rFonts w:ascii="Times New Roman" w:eastAsia="Times New Roman" w:hAnsi="Times New Roman" w:cs="Times New Roman"/>
          <w:i/>
          <w:iCs/>
          <w:color w:val="000000"/>
          <w:kern w:val="0"/>
          <w:szCs w:val="24"/>
          <w:lang w:eastAsia="en-GB"/>
          <w14:ligatures w14:val="none"/>
        </w:rPr>
        <w:t>Indian Esoteric Buddhism: A Social History of the Tantric Movement</w:t>
      </w:r>
      <w:r w:rsidRPr="003B6BC0">
        <w:rPr>
          <w:rFonts w:ascii="Times New Roman" w:eastAsia="Times New Roman" w:hAnsi="Times New Roman" w:cs="Times New Roman"/>
          <w:color w:val="000000"/>
          <w:kern w:val="0"/>
          <w:szCs w:val="24"/>
          <w:lang w:eastAsia="en-GB"/>
          <w14:ligatures w14:val="none"/>
        </w:rPr>
        <w:t>. New York: Columbia University Press.</w:t>
      </w:r>
    </w:p>
    <w:p w14:paraId="6AA442EB"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Samuel, Geoffrey. 2008. </w:t>
      </w:r>
      <w:r w:rsidRPr="003B6BC0">
        <w:rPr>
          <w:rFonts w:ascii="Times New Roman" w:eastAsia="Times New Roman" w:hAnsi="Times New Roman" w:cs="Times New Roman"/>
          <w:i/>
          <w:iCs/>
          <w:color w:val="000000"/>
          <w:kern w:val="0"/>
          <w:szCs w:val="24"/>
          <w:lang w:eastAsia="en-GB"/>
          <w14:ligatures w14:val="none"/>
        </w:rPr>
        <w:t>The Origins of Yoga and Tantra: Indic Religions to the Thirteenth Century</w:t>
      </w:r>
      <w:r w:rsidRPr="003B6BC0">
        <w:rPr>
          <w:rFonts w:ascii="Times New Roman" w:eastAsia="Times New Roman" w:hAnsi="Times New Roman" w:cs="Times New Roman"/>
          <w:color w:val="000000"/>
          <w:kern w:val="0"/>
          <w:szCs w:val="24"/>
          <w:lang w:eastAsia="en-GB"/>
          <w14:ligatures w14:val="none"/>
        </w:rPr>
        <w:t>. Cambridge: Cambridge University Press.</w:t>
      </w:r>
    </w:p>
    <w:p w14:paraId="3AA82EF4"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Sanderson, Alexis. 2009. “The Śaiva Age: The Rise and Dominance of Śaivism during the Early Medieval Period.” In </w:t>
      </w:r>
      <w:r w:rsidRPr="003B6BC0">
        <w:rPr>
          <w:rFonts w:ascii="Times New Roman" w:eastAsia="Times New Roman" w:hAnsi="Times New Roman" w:cs="Times New Roman"/>
          <w:i/>
          <w:iCs/>
          <w:color w:val="000000"/>
          <w:kern w:val="0"/>
          <w:szCs w:val="24"/>
          <w:lang w:eastAsia="en-GB"/>
          <w14:ligatures w14:val="none"/>
        </w:rPr>
        <w:t>Genesis and Development of Tantrism</w:t>
      </w:r>
      <w:r w:rsidRPr="003B6BC0">
        <w:rPr>
          <w:rFonts w:ascii="Times New Roman" w:eastAsia="Times New Roman" w:hAnsi="Times New Roman" w:cs="Times New Roman"/>
          <w:color w:val="000000"/>
          <w:kern w:val="0"/>
          <w:szCs w:val="24"/>
          <w:lang w:eastAsia="en-GB"/>
          <w14:ligatures w14:val="none"/>
        </w:rPr>
        <w:t>, edited by Shingo Einoo, 41–350. Tokyo: Institute of Oriental Culture, University of Tokyo.</w:t>
      </w:r>
    </w:p>
    <w:p w14:paraId="611E0A99"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Sanderson, Alexis. 2015. “The Tantric Rebirth of Indian Buddhism under Śākta-Śaiva Influence during the 7th to 11th Centuries.” Lecture handout, Tsukuba Global Science Week.</w:t>
      </w:r>
    </w:p>
    <w:p w14:paraId="5889861E"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Shaw, Miranda. 1994. </w:t>
      </w:r>
      <w:r w:rsidRPr="003B6BC0">
        <w:rPr>
          <w:rFonts w:ascii="Times New Roman" w:eastAsia="Times New Roman" w:hAnsi="Times New Roman" w:cs="Times New Roman"/>
          <w:i/>
          <w:iCs/>
          <w:color w:val="000000"/>
          <w:kern w:val="0"/>
          <w:szCs w:val="24"/>
          <w:lang w:eastAsia="en-GB"/>
          <w14:ligatures w14:val="none"/>
        </w:rPr>
        <w:t>Passionate Enlightenment: Women in Tantric Buddhism</w:t>
      </w:r>
      <w:r w:rsidRPr="003B6BC0">
        <w:rPr>
          <w:rFonts w:ascii="Times New Roman" w:eastAsia="Times New Roman" w:hAnsi="Times New Roman" w:cs="Times New Roman"/>
          <w:color w:val="000000"/>
          <w:kern w:val="0"/>
          <w:szCs w:val="24"/>
          <w:lang w:eastAsia="en-GB"/>
          <w14:ligatures w14:val="none"/>
        </w:rPr>
        <w:t>. Princeton, NJ: Princeton University Press.</w:t>
      </w:r>
    </w:p>
    <w:p w14:paraId="2EEB1460"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Shaw, Miranda. 2006. </w:t>
      </w:r>
      <w:r w:rsidRPr="003B6BC0">
        <w:rPr>
          <w:rFonts w:ascii="Times New Roman" w:eastAsia="Times New Roman" w:hAnsi="Times New Roman" w:cs="Times New Roman"/>
          <w:i/>
          <w:iCs/>
          <w:color w:val="000000"/>
          <w:kern w:val="0"/>
          <w:szCs w:val="24"/>
          <w:lang w:eastAsia="en-GB"/>
          <w14:ligatures w14:val="none"/>
        </w:rPr>
        <w:t>Buddhist Goddesses of India</w:t>
      </w:r>
      <w:r w:rsidRPr="003B6BC0">
        <w:rPr>
          <w:rFonts w:ascii="Times New Roman" w:eastAsia="Times New Roman" w:hAnsi="Times New Roman" w:cs="Times New Roman"/>
          <w:color w:val="000000"/>
          <w:kern w:val="0"/>
          <w:szCs w:val="24"/>
          <w:lang w:eastAsia="en-GB"/>
          <w14:ligatures w14:val="none"/>
        </w:rPr>
        <w:t>. Princeton, NJ: Princeton University Press.</w:t>
      </w:r>
    </w:p>
    <w:p w14:paraId="0B797ACC"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Wedemeyer, Christian K. 2013. </w:t>
      </w:r>
      <w:r w:rsidRPr="003B6BC0">
        <w:rPr>
          <w:rFonts w:ascii="Times New Roman" w:eastAsia="Times New Roman" w:hAnsi="Times New Roman" w:cs="Times New Roman"/>
          <w:i/>
          <w:iCs/>
          <w:color w:val="000000"/>
          <w:kern w:val="0"/>
          <w:szCs w:val="24"/>
          <w:lang w:eastAsia="en-GB"/>
          <w14:ligatures w14:val="none"/>
        </w:rPr>
        <w:t>Making Sense of Tantric Buddhism: History, Semiology, and Transgression in the Indian Traditions</w:t>
      </w:r>
      <w:r w:rsidRPr="003B6BC0">
        <w:rPr>
          <w:rFonts w:ascii="Times New Roman" w:eastAsia="Times New Roman" w:hAnsi="Times New Roman" w:cs="Times New Roman"/>
          <w:color w:val="000000"/>
          <w:kern w:val="0"/>
          <w:szCs w:val="24"/>
          <w:lang w:eastAsia="en-GB"/>
          <w14:ligatures w14:val="none"/>
        </w:rPr>
        <w:t>. New York: Columbia University Press.</w:t>
      </w:r>
    </w:p>
    <w:p w14:paraId="4E68A85E"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White, David Gordon. 2003. </w:t>
      </w:r>
      <w:r w:rsidRPr="003B6BC0">
        <w:rPr>
          <w:rFonts w:ascii="Times New Roman" w:eastAsia="Times New Roman" w:hAnsi="Times New Roman" w:cs="Times New Roman"/>
          <w:i/>
          <w:iCs/>
          <w:color w:val="000000"/>
          <w:kern w:val="0"/>
          <w:szCs w:val="24"/>
          <w:lang w:eastAsia="en-GB"/>
          <w14:ligatures w14:val="none"/>
        </w:rPr>
        <w:t>Kiss of the Yoginī: “Tantric Sex” in Its South Asian Contexts</w:t>
      </w:r>
      <w:r w:rsidRPr="003B6BC0">
        <w:rPr>
          <w:rFonts w:ascii="Times New Roman" w:eastAsia="Times New Roman" w:hAnsi="Times New Roman" w:cs="Times New Roman"/>
          <w:color w:val="000000"/>
          <w:kern w:val="0"/>
          <w:szCs w:val="24"/>
          <w:lang w:eastAsia="en-GB"/>
          <w14:ligatures w14:val="none"/>
        </w:rPr>
        <w:t>. Chicago: University of Chicago Press.</w:t>
      </w:r>
    </w:p>
    <w:p w14:paraId="20100A33"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UNESCO World Heritage Centre. 1985. “Ruins of the Buddhist Vihara at Paharpur.” UNESCO World Heritage List.</w:t>
      </w:r>
    </w:p>
    <w:p w14:paraId="2263F728"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UNESCO World Heritage Centre. 2024. “Archaeological Sites of Lalmai-Mainamati.” UNESCO Tentative Lists.</w:t>
      </w:r>
    </w:p>
    <w:p w14:paraId="700D8EF2"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Banglapedia. 2021a. “Somapura Mahavihara.” National Encyclopedia of Bangladesh.</w:t>
      </w:r>
    </w:p>
    <w:p w14:paraId="5331DCD0"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Banglapedia. 2021b. “Music.” National Encyclopedia of Bangladesh.</w:t>
      </w:r>
    </w:p>
    <w:p w14:paraId="3AF0FDFD" w14:textId="77777777" w:rsidR="00A96FB6" w:rsidRPr="003B6BC0" w:rsidRDefault="00A96FB6" w:rsidP="00A96FB6">
      <w:pPr>
        <w:rPr>
          <w:rFonts w:ascii="Times New Roman" w:eastAsia="Times New Roman" w:hAnsi="Times New Roman" w:cs="Times New Roman"/>
          <w:color w:val="000000"/>
          <w:kern w:val="0"/>
          <w:szCs w:val="24"/>
          <w:lang w:eastAsia="en-GB"/>
          <w14:ligatures w14:val="none"/>
        </w:rPr>
      </w:pPr>
      <w:r w:rsidRPr="003B6BC0">
        <w:rPr>
          <w:rFonts w:ascii="Times New Roman" w:eastAsia="Times New Roman" w:hAnsi="Times New Roman" w:cs="Times New Roman"/>
          <w:color w:val="000000"/>
          <w:kern w:val="0"/>
          <w:szCs w:val="24"/>
          <w:lang w:eastAsia="en-GB"/>
          <w14:ligatures w14:val="none"/>
        </w:rPr>
        <w:t>Key sources used: UNESCO on Paharpur and Lalmai-Mainamati; Banglapedia on Somapura, Paharpur, Buddhist vihāras, and </w:t>
      </w:r>
      <w:r w:rsidRPr="003B6BC0">
        <w:rPr>
          <w:rFonts w:ascii="Times New Roman" w:eastAsia="Times New Roman" w:hAnsi="Times New Roman" w:cs="Times New Roman"/>
          <w:i/>
          <w:iCs/>
          <w:color w:val="000000"/>
          <w:kern w:val="0"/>
          <w:szCs w:val="24"/>
          <w:lang w:eastAsia="en-GB"/>
          <w14:ligatures w14:val="none"/>
        </w:rPr>
        <w:t>caryāgīti</w:t>
      </w:r>
      <w:r w:rsidRPr="003B6BC0">
        <w:rPr>
          <w:rFonts w:ascii="Times New Roman" w:eastAsia="Times New Roman" w:hAnsi="Times New Roman" w:cs="Times New Roman"/>
          <w:color w:val="000000"/>
          <w:kern w:val="0"/>
          <w:szCs w:val="24"/>
          <w:lang w:eastAsia="en-GB"/>
          <w14:ligatures w14:val="none"/>
        </w:rPr>
        <w:t>; Davidson, Samuel, Sanderson, White, and related scholarship on early medieval Tantra and Buddhist esotericism. (</w:t>
      </w:r>
      <w:hyperlink r:id="rId9" w:tooltip="Ruins of the Buddhist Vihara at Paharpur" w:history="1">
        <w:r w:rsidRPr="003B6BC0">
          <w:rPr>
            <w:rFonts w:ascii="Times New Roman" w:eastAsia="Times New Roman" w:hAnsi="Times New Roman" w:cs="Times New Roman"/>
            <w:color w:val="0000FF"/>
            <w:kern w:val="0"/>
            <w:szCs w:val="24"/>
            <w:u w:val="single"/>
            <w:lang w:eastAsia="en-GB"/>
            <w14:ligatures w14:val="none"/>
          </w:rPr>
          <w:t>UNESCO World Heritage Centre</w:t>
        </w:r>
      </w:hyperlink>
      <w:r w:rsidRPr="003B6BC0">
        <w:rPr>
          <w:rFonts w:ascii="Times New Roman" w:eastAsia="Times New Roman" w:hAnsi="Times New Roman" w:cs="Times New Roman"/>
          <w:color w:val="000000"/>
          <w:kern w:val="0"/>
          <w:szCs w:val="24"/>
          <w:lang w:eastAsia="en-GB"/>
          <w14:ligatures w14:val="none"/>
        </w:rPr>
        <w:t>)</w:t>
      </w:r>
    </w:p>
    <w:p w14:paraId="03ABBE84" w14:textId="77777777" w:rsidR="00A96FB6" w:rsidRDefault="00A96FB6" w:rsidP="00AF49A4">
      <w:pPr>
        <w:rPr>
          <w:rFonts w:ascii="Times New Roman" w:eastAsia="Times New Roman" w:hAnsi="Times New Roman" w:cs="Times New Roman"/>
          <w:color w:val="000000"/>
          <w:kern w:val="0"/>
          <w:szCs w:val="24"/>
          <w:lang w:eastAsia="en-GB"/>
          <w14:ligatures w14:val="none"/>
        </w:rPr>
      </w:pPr>
    </w:p>
    <w:p w14:paraId="37C6C931"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60212E9F" w14:textId="77777777" w:rsidR="00882031" w:rsidRPr="00C31BBE" w:rsidRDefault="00882031" w:rsidP="00882031">
      <w:pPr>
        <w:rPr>
          <w:rFonts w:ascii="Times New Roman" w:eastAsia="Times New Roman" w:hAnsi="Times New Roman" w:cs="Times New Roman"/>
          <w:b/>
          <w:bCs/>
          <w:color w:val="000000"/>
          <w:kern w:val="0"/>
          <w:szCs w:val="24"/>
          <w:lang w:eastAsia="en-GB"/>
          <w14:ligatures w14:val="none"/>
        </w:rPr>
      </w:pPr>
      <w:r w:rsidRPr="00C31BBE">
        <w:rPr>
          <w:rFonts w:ascii="Times New Roman" w:eastAsia="Times New Roman" w:hAnsi="Times New Roman" w:cs="Times New Roman"/>
          <w:b/>
          <w:bCs/>
          <w:color w:val="000000"/>
          <w:kern w:val="0"/>
          <w:szCs w:val="24"/>
          <w:lang w:eastAsia="en-GB"/>
          <w14:ligatures w14:val="none"/>
        </w:rPr>
        <w:t>Additional Bibliography</w:t>
      </w:r>
    </w:p>
    <w:p w14:paraId="74067116"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Davidson, Ronald M. 2002. </w:t>
      </w:r>
      <w:r w:rsidRPr="00C31BBE">
        <w:rPr>
          <w:rFonts w:ascii="Times New Roman" w:eastAsia="Times New Roman" w:hAnsi="Times New Roman" w:cs="Times New Roman"/>
          <w:i/>
          <w:iCs/>
          <w:color w:val="000000"/>
          <w:kern w:val="0"/>
          <w:szCs w:val="24"/>
          <w:lang w:eastAsia="en-GB"/>
          <w14:ligatures w14:val="none"/>
        </w:rPr>
        <w:t>Indian Esoteric Buddhism: A Social History of the Tantric Movement</w:t>
      </w:r>
      <w:r w:rsidRPr="00C31BBE">
        <w:rPr>
          <w:rFonts w:ascii="Times New Roman" w:eastAsia="Times New Roman" w:hAnsi="Times New Roman" w:cs="Times New Roman"/>
          <w:color w:val="000000"/>
          <w:kern w:val="0"/>
          <w:szCs w:val="24"/>
          <w:lang w:eastAsia="en-GB"/>
          <w14:ligatures w14:val="none"/>
        </w:rPr>
        <w:t>. New York: Columbia University Press.</w:t>
      </w:r>
    </w:p>
    <w:p w14:paraId="362D4557"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Samuel, Geoffrey. 2008. </w:t>
      </w:r>
      <w:r w:rsidRPr="00C31BBE">
        <w:rPr>
          <w:rFonts w:ascii="Times New Roman" w:eastAsia="Times New Roman" w:hAnsi="Times New Roman" w:cs="Times New Roman"/>
          <w:i/>
          <w:iCs/>
          <w:color w:val="000000"/>
          <w:kern w:val="0"/>
          <w:szCs w:val="24"/>
          <w:lang w:eastAsia="en-GB"/>
          <w14:ligatures w14:val="none"/>
        </w:rPr>
        <w:t>The Origins of Yoga and Tantra: Indic Religions to the Thirteenth Century</w:t>
      </w:r>
      <w:r w:rsidRPr="00C31BBE">
        <w:rPr>
          <w:rFonts w:ascii="Times New Roman" w:eastAsia="Times New Roman" w:hAnsi="Times New Roman" w:cs="Times New Roman"/>
          <w:color w:val="000000"/>
          <w:kern w:val="0"/>
          <w:szCs w:val="24"/>
          <w:lang w:eastAsia="en-GB"/>
          <w14:ligatures w14:val="none"/>
        </w:rPr>
        <w:t>. Cambridge: Cambridge University Press.</w:t>
      </w:r>
    </w:p>
    <w:p w14:paraId="01C9E71D"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Sanderson, Alexis. 2009. “The Śaiva Age: The Rise and Dominance of Śaivism during the Early Medieval Period.” In </w:t>
      </w:r>
      <w:r w:rsidRPr="00C31BBE">
        <w:rPr>
          <w:rFonts w:ascii="Times New Roman" w:eastAsia="Times New Roman" w:hAnsi="Times New Roman" w:cs="Times New Roman"/>
          <w:i/>
          <w:iCs/>
          <w:color w:val="000000"/>
          <w:kern w:val="0"/>
          <w:szCs w:val="24"/>
          <w:lang w:eastAsia="en-GB"/>
          <w14:ligatures w14:val="none"/>
        </w:rPr>
        <w:t>Genesis and Development of Tantrism</w:t>
      </w:r>
      <w:r w:rsidRPr="00C31BBE">
        <w:rPr>
          <w:rFonts w:ascii="Times New Roman" w:eastAsia="Times New Roman" w:hAnsi="Times New Roman" w:cs="Times New Roman"/>
          <w:color w:val="000000"/>
          <w:kern w:val="0"/>
          <w:szCs w:val="24"/>
          <w:lang w:eastAsia="en-GB"/>
          <w14:ligatures w14:val="none"/>
        </w:rPr>
        <w:t>, edited by Shingo Einoo, 41–350. Tokyo: Institute of Oriental Culture, University of Tokyo.</w:t>
      </w:r>
    </w:p>
    <w:p w14:paraId="39B3E21B"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Sanderson, Alexis. 2015. “The Tantric Rebirth of Indian Buddhism under Śākta-Śaiva Influence during the 7th to 11th Centuries.” Lecture handout, Tsukuba Global Science Week.</w:t>
      </w:r>
    </w:p>
    <w:p w14:paraId="44F603D9"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Shaw, Miranda. 1994. </w:t>
      </w:r>
      <w:r w:rsidRPr="00C31BBE">
        <w:rPr>
          <w:rFonts w:ascii="Times New Roman" w:eastAsia="Times New Roman" w:hAnsi="Times New Roman" w:cs="Times New Roman"/>
          <w:i/>
          <w:iCs/>
          <w:color w:val="000000"/>
          <w:kern w:val="0"/>
          <w:szCs w:val="24"/>
          <w:lang w:eastAsia="en-GB"/>
          <w14:ligatures w14:val="none"/>
        </w:rPr>
        <w:t>Passionate Enlightenment: Women in Tantric Buddhism</w:t>
      </w:r>
      <w:r w:rsidRPr="00C31BBE">
        <w:rPr>
          <w:rFonts w:ascii="Times New Roman" w:eastAsia="Times New Roman" w:hAnsi="Times New Roman" w:cs="Times New Roman"/>
          <w:color w:val="000000"/>
          <w:kern w:val="0"/>
          <w:szCs w:val="24"/>
          <w:lang w:eastAsia="en-GB"/>
          <w14:ligatures w14:val="none"/>
        </w:rPr>
        <w:t>. Princeton, NJ: Princeton University Press.</w:t>
      </w:r>
    </w:p>
    <w:p w14:paraId="2CFE64BD"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lastRenderedPageBreak/>
        <w:t>Wedemeyer, Christian K. 2013. </w:t>
      </w:r>
      <w:r w:rsidRPr="00C31BBE">
        <w:rPr>
          <w:rFonts w:ascii="Times New Roman" w:eastAsia="Times New Roman" w:hAnsi="Times New Roman" w:cs="Times New Roman"/>
          <w:i/>
          <w:iCs/>
          <w:color w:val="000000"/>
          <w:kern w:val="0"/>
          <w:szCs w:val="24"/>
          <w:lang w:eastAsia="en-GB"/>
          <w14:ligatures w14:val="none"/>
        </w:rPr>
        <w:t>Making Sense of Tantric Buddhism: History, Semiology, and Transgression in the Indian Traditions</w:t>
      </w:r>
      <w:r w:rsidRPr="00C31BBE">
        <w:rPr>
          <w:rFonts w:ascii="Times New Roman" w:eastAsia="Times New Roman" w:hAnsi="Times New Roman" w:cs="Times New Roman"/>
          <w:color w:val="000000"/>
          <w:kern w:val="0"/>
          <w:szCs w:val="24"/>
          <w:lang w:eastAsia="en-GB"/>
          <w14:ligatures w14:val="none"/>
        </w:rPr>
        <w:t>. New York: Columbia University Press.</w:t>
      </w:r>
    </w:p>
    <w:p w14:paraId="366B7663" w14:textId="77777777" w:rsidR="00882031" w:rsidRPr="00C31BBE" w:rsidRDefault="00882031" w:rsidP="00882031">
      <w:pPr>
        <w:rPr>
          <w:rFonts w:ascii="Times New Roman" w:eastAsia="Times New Roman" w:hAnsi="Times New Roman" w:cs="Times New Roman"/>
          <w:color w:val="000000"/>
          <w:kern w:val="0"/>
          <w:szCs w:val="24"/>
          <w:lang w:eastAsia="en-GB"/>
          <w14:ligatures w14:val="none"/>
        </w:rPr>
      </w:pPr>
      <w:r w:rsidRPr="00C31BBE">
        <w:rPr>
          <w:rFonts w:ascii="Times New Roman" w:eastAsia="Times New Roman" w:hAnsi="Times New Roman" w:cs="Times New Roman"/>
          <w:color w:val="000000"/>
          <w:kern w:val="0"/>
          <w:szCs w:val="24"/>
          <w:lang w:eastAsia="en-GB"/>
          <w14:ligatures w14:val="none"/>
        </w:rPr>
        <w:t>White, David Gordon. 2003. </w:t>
      </w:r>
      <w:r w:rsidRPr="00C31BBE">
        <w:rPr>
          <w:rFonts w:ascii="Times New Roman" w:eastAsia="Times New Roman" w:hAnsi="Times New Roman" w:cs="Times New Roman"/>
          <w:i/>
          <w:iCs/>
          <w:color w:val="000000"/>
          <w:kern w:val="0"/>
          <w:szCs w:val="24"/>
          <w:lang w:eastAsia="en-GB"/>
          <w14:ligatures w14:val="none"/>
        </w:rPr>
        <w:t>Kiss of the Yoginī: “Tantric Sex” in Its South Asian Contexts</w:t>
      </w:r>
      <w:r w:rsidRPr="00C31BBE">
        <w:rPr>
          <w:rFonts w:ascii="Times New Roman" w:eastAsia="Times New Roman" w:hAnsi="Times New Roman" w:cs="Times New Roman"/>
          <w:color w:val="000000"/>
          <w:kern w:val="0"/>
          <w:szCs w:val="24"/>
          <w:lang w:eastAsia="en-GB"/>
          <w14:ligatures w14:val="none"/>
        </w:rPr>
        <w:t>. Chicago: University of Chicago Press.</w:t>
      </w:r>
    </w:p>
    <w:p w14:paraId="53A971A1" w14:textId="77777777" w:rsidR="00882031" w:rsidRPr="00C31BBE" w:rsidRDefault="00882031" w:rsidP="00882031">
      <w:pPr>
        <w:rPr>
          <w:szCs w:val="24"/>
        </w:rPr>
      </w:pPr>
    </w:p>
    <w:p w14:paraId="26791A23" w14:textId="77777777" w:rsidR="00882031" w:rsidRDefault="00882031" w:rsidP="00882031">
      <w:pPr>
        <w:rPr>
          <w:rFonts w:ascii="Times New Roman" w:eastAsia="Times New Roman" w:hAnsi="Times New Roman" w:cs="Times New Roman"/>
          <w:color w:val="000000"/>
          <w:kern w:val="0"/>
          <w:szCs w:val="24"/>
          <w:lang w:eastAsia="en-GB"/>
          <w14:ligatures w14:val="none"/>
        </w:rPr>
      </w:pPr>
    </w:p>
    <w:p w14:paraId="5400A500" w14:textId="77777777" w:rsidR="00882031" w:rsidRPr="00952680" w:rsidRDefault="00882031" w:rsidP="00AF49A4">
      <w:pPr>
        <w:rPr>
          <w:rFonts w:ascii="Times New Roman" w:eastAsia="Times New Roman" w:hAnsi="Times New Roman" w:cs="Times New Roman"/>
          <w:color w:val="000000"/>
          <w:kern w:val="0"/>
          <w:szCs w:val="24"/>
          <w:lang w:eastAsia="en-GB"/>
          <w14:ligatures w14:val="none"/>
        </w:rPr>
      </w:pPr>
    </w:p>
    <w:p w14:paraId="577A7A2B" w14:textId="76764457" w:rsidR="00952680" w:rsidRPr="00952680" w:rsidRDefault="00952680" w:rsidP="00AF49A4">
      <w:pPr>
        <w:rPr>
          <w:rFonts w:ascii="Times New Roman" w:eastAsia="Times New Roman" w:hAnsi="Times New Roman" w:cs="Times New Roman"/>
          <w:kern w:val="0"/>
          <w:szCs w:val="24"/>
          <w:lang w:eastAsia="en-GB"/>
          <w14:ligatures w14:val="none"/>
        </w:rPr>
      </w:pPr>
    </w:p>
    <w:sectPr w:rsidR="00952680" w:rsidRPr="00952680">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1BE5" w14:textId="77777777" w:rsidR="002A7493" w:rsidRDefault="002A7493" w:rsidP="00B34612">
      <w:r>
        <w:separator/>
      </w:r>
    </w:p>
  </w:endnote>
  <w:endnote w:type="continuationSeparator" w:id="0">
    <w:p w14:paraId="3D8EBBC1" w14:textId="77777777" w:rsidR="002A7493" w:rsidRDefault="002A7493" w:rsidP="00B34612">
      <w:r>
        <w:continuationSeparator/>
      </w:r>
    </w:p>
  </w:endnote>
  <w:endnote w:id="1">
    <w:p w14:paraId="3AB00978" w14:textId="336ECB56" w:rsidR="00B34612" w:rsidRPr="00B34612" w:rsidRDefault="00B34612" w:rsidP="00B34612">
      <w:pPr>
        <w:pStyle w:val="NormalWeb"/>
        <w:spacing w:before="0" w:beforeAutospacing="0" w:after="0" w:afterAutospacing="0"/>
        <w:rPr>
          <w:color w:val="000000"/>
          <w:sz w:val="18"/>
          <w:szCs w:val="18"/>
        </w:rPr>
      </w:pPr>
      <w:r>
        <w:rPr>
          <w:rStyle w:val="EndnoteReference"/>
        </w:rPr>
        <w:endnoteRef/>
      </w:r>
      <w:r>
        <w:t xml:space="preserve"> </w:t>
      </w:r>
      <w:r w:rsidRPr="00B34612">
        <w:rPr>
          <w:color w:val="000000"/>
          <w:sz w:val="18"/>
          <w:szCs w:val="18"/>
        </w:rPr>
        <w:t>In Buddhist thought, th</w:t>
      </w:r>
      <w:r w:rsidR="00E57E15">
        <w:rPr>
          <w:color w:val="000000"/>
          <w:sz w:val="18"/>
          <w:szCs w:val="18"/>
        </w:rPr>
        <w:t>e</w:t>
      </w:r>
      <w:r w:rsidRPr="00B34612">
        <w:rPr>
          <w:color w:val="000000"/>
          <w:sz w:val="18"/>
          <w:szCs w:val="18"/>
        </w:rPr>
        <w:t xml:space="preserve"> expression </w:t>
      </w:r>
      <w:r w:rsidR="00E57E15">
        <w:rPr>
          <w:color w:val="000000"/>
          <w:sz w:val="18"/>
          <w:szCs w:val="18"/>
        </w:rPr>
        <w:t>‘</w:t>
      </w:r>
      <w:r w:rsidR="00E57E15" w:rsidRPr="00B34612">
        <w:rPr>
          <w:rStyle w:val="Emphasis"/>
          <w:color w:val="000000"/>
          <w:sz w:val="18"/>
          <w:szCs w:val="18"/>
        </w:rPr>
        <w:t>ehipaśyika</w:t>
      </w:r>
      <w:r w:rsidR="00E57E15">
        <w:rPr>
          <w:color w:val="000000"/>
          <w:sz w:val="18"/>
          <w:szCs w:val="18"/>
        </w:rPr>
        <w:t xml:space="preserve">’ </w:t>
      </w:r>
      <w:r w:rsidRPr="00B34612">
        <w:rPr>
          <w:color w:val="000000"/>
          <w:sz w:val="18"/>
          <w:szCs w:val="18"/>
        </w:rPr>
        <w:t>signifies that the Dharma is not merely a matter of blind belief, inherited authority, or abstract metaphysical speculation. Rather, it is something to be directly experienced and verified through practice.</w:t>
      </w:r>
      <w:r w:rsidR="00E57E15">
        <w:rPr>
          <w:color w:val="000000"/>
          <w:sz w:val="18"/>
          <w:szCs w:val="18"/>
        </w:rPr>
        <w:t xml:space="preserve"> </w:t>
      </w:r>
      <w:r w:rsidRPr="00B34612">
        <w:rPr>
          <w:color w:val="000000"/>
          <w:sz w:val="18"/>
          <w:szCs w:val="18"/>
        </w:rPr>
        <w:t>Within the context of the</w:t>
      </w:r>
      <w:r w:rsidRPr="00B34612">
        <w:rPr>
          <w:rStyle w:val="apple-converted-space"/>
          <w:color w:val="000000"/>
          <w:sz w:val="18"/>
          <w:szCs w:val="18"/>
        </w:rPr>
        <w:t> </w:t>
      </w:r>
      <w:r w:rsidRPr="00B34612">
        <w:rPr>
          <w:rStyle w:val="Emphasis"/>
          <w:color w:val="000000"/>
          <w:sz w:val="18"/>
          <w:szCs w:val="18"/>
        </w:rPr>
        <w:t>Hevajratantra</w:t>
      </w:r>
      <w:r w:rsidRPr="00B34612">
        <w:rPr>
          <w:color w:val="000000"/>
          <w:sz w:val="18"/>
          <w:szCs w:val="18"/>
        </w:rPr>
        <w:t>, the concept becomes especially significant because tantric realization is presented not as purely textual knowledge but as embodied experience. Dance, song, mantra, and ritual movement are not symbolic representations of truth; they are experiential means through which the practitioner directly encounters impermanence, emptiness (</w:t>
      </w:r>
      <w:r w:rsidRPr="00B34612">
        <w:rPr>
          <w:rStyle w:val="Emphasis"/>
          <w:color w:val="000000"/>
          <w:sz w:val="18"/>
          <w:szCs w:val="18"/>
        </w:rPr>
        <w:t>śūnyatā</w:t>
      </w:r>
      <w:r w:rsidRPr="00B34612">
        <w:rPr>
          <w:color w:val="000000"/>
          <w:sz w:val="18"/>
          <w:szCs w:val="18"/>
        </w:rPr>
        <w:t>), and</w:t>
      </w:r>
      <w:r w:rsidRPr="00B34612">
        <w:rPr>
          <w:rStyle w:val="apple-converted-space"/>
          <w:color w:val="000000"/>
          <w:sz w:val="18"/>
          <w:szCs w:val="18"/>
        </w:rPr>
        <w:t> </w:t>
      </w:r>
      <w:r w:rsidRPr="00B34612">
        <w:rPr>
          <w:rStyle w:val="Emphasis"/>
          <w:color w:val="000000"/>
          <w:sz w:val="18"/>
          <w:szCs w:val="18"/>
        </w:rPr>
        <w:t>mahāsukha</w:t>
      </w:r>
      <w:r w:rsidRPr="00B34612">
        <w:rPr>
          <w:color w:val="000000"/>
          <w:sz w:val="18"/>
          <w:szCs w:val="18"/>
        </w:rPr>
        <w:t>.Thus, when the essay invokes</w:t>
      </w:r>
      <w:r w:rsidRPr="00B34612">
        <w:rPr>
          <w:rStyle w:val="apple-converted-space"/>
          <w:color w:val="000000"/>
          <w:sz w:val="18"/>
          <w:szCs w:val="18"/>
        </w:rPr>
        <w:t> </w:t>
      </w:r>
      <w:r w:rsidRPr="00B34612">
        <w:rPr>
          <w:rStyle w:val="Emphasis"/>
          <w:color w:val="000000"/>
          <w:sz w:val="18"/>
          <w:szCs w:val="18"/>
        </w:rPr>
        <w:t>ehipaśyika</w:t>
      </w:r>
      <w:r w:rsidRPr="00B34612">
        <w:rPr>
          <w:color w:val="000000"/>
          <w:sz w:val="18"/>
          <w:szCs w:val="18"/>
        </w:rPr>
        <w:t>, it suggests that tantric ritual praxis operates through lived realization rather than doctrinal assertion alone. The practitioner does not merely “believe” in liberation; liberation must be somatically enacted and directly experienced.</w:t>
      </w:r>
    </w:p>
    <w:p w14:paraId="256C0F89" w14:textId="0E6815DE" w:rsidR="00B34612" w:rsidRPr="00B34612" w:rsidRDefault="00B34612">
      <w:pPr>
        <w:pStyle w:val="EndnoteText"/>
        <w:rPr>
          <w:lang w:val="en-US"/>
        </w:rPr>
      </w:pPr>
    </w:p>
  </w:endnote>
  <w:endnote w:id="2">
    <w:p w14:paraId="2B36F03E" w14:textId="58B81B47" w:rsidR="007011A4" w:rsidRPr="007011A4" w:rsidRDefault="007011A4" w:rsidP="007011A4">
      <w:pPr>
        <w:rPr>
          <w:rFonts w:ascii="Times New Roman" w:eastAsia="Times New Roman" w:hAnsi="Times New Roman" w:cs="Times New Roman"/>
          <w:color w:val="000000"/>
          <w:kern w:val="0"/>
          <w:szCs w:val="24"/>
          <w:lang w:eastAsia="en-GB"/>
          <w14:ligatures w14:val="none"/>
        </w:rPr>
      </w:pPr>
      <w:r>
        <w:rPr>
          <w:rStyle w:val="EndnoteReference"/>
        </w:rPr>
        <w:endnoteRef/>
      </w:r>
      <w:r>
        <w:t xml:space="preserve"> </w:t>
      </w:r>
      <w:r w:rsidRPr="007011A4">
        <w:rPr>
          <w:rFonts w:ascii="Times New Roman" w:eastAsia="Times New Roman" w:hAnsi="Times New Roman" w:cs="Times New Roman"/>
          <w:color w:val="000000"/>
          <w:kern w:val="0"/>
          <w:sz w:val="18"/>
          <w:szCs w:val="18"/>
          <w:lang w:eastAsia="en-GB"/>
          <w14:ligatures w14:val="none"/>
        </w:rPr>
        <w:t>Although Abhinavagupta is commonly known as a commentator on the Nāṭyaśāstra and as an exegete of the Dhvanyāloka, within Kashmir Shaivism he is revered as a Mahāsiddha and tantric ācārya. His principal tantric text, Tantrāloka (c. 1014 CE), comprising thirty-seven chapters on the Kaula and Trika systems, offers a detailed exposition of embodied ritual practice, the </w:t>
      </w:r>
      <w:r w:rsidRPr="007011A4">
        <w:rPr>
          <w:rFonts w:ascii="Times New Roman" w:eastAsia="Times New Roman" w:hAnsi="Times New Roman" w:cs="Times New Roman"/>
          <w:i/>
          <w:iCs/>
          <w:color w:val="000000"/>
          <w:kern w:val="0"/>
          <w:sz w:val="18"/>
          <w:szCs w:val="18"/>
          <w:lang w:eastAsia="en-GB"/>
          <w14:ligatures w14:val="none"/>
        </w:rPr>
        <w:t>pañcamakāra</w:t>
      </w:r>
      <w:r w:rsidRPr="007011A4">
        <w:rPr>
          <w:rFonts w:ascii="Times New Roman" w:eastAsia="Times New Roman" w:hAnsi="Times New Roman" w:cs="Times New Roman"/>
          <w:color w:val="000000"/>
          <w:kern w:val="0"/>
          <w:sz w:val="18"/>
          <w:szCs w:val="18"/>
          <w:lang w:eastAsia="en-GB"/>
          <w14:ligatures w14:val="none"/>
        </w:rPr>
        <w:t xml:space="preserve"> (“five Ms”), and the path of yogic bliss. </w:t>
      </w:r>
      <w:r w:rsidRPr="00E57E15">
        <w:rPr>
          <w:rFonts w:ascii="Times New Roman" w:eastAsia="Times New Roman" w:hAnsi="Times New Roman" w:cs="Times New Roman"/>
          <w:color w:val="000000"/>
          <w:kern w:val="0"/>
          <w:sz w:val="18"/>
          <w:szCs w:val="18"/>
          <w:lang w:eastAsia="en-GB"/>
          <w14:ligatures w14:val="none"/>
        </w:rPr>
        <w:t>He explicitly states: </w:t>
      </w:r>
      <w:r w:rsidR="00E57E15" w:rsidRPr="00E57E15">
        <w:rPr>
          <w:rFonts w:ascii="-webkit-standard" w:hAnsi="-webkit-standard" w:cs="Mangal"/>
          <w:color w:val="000000"/>
          <w:sz w:val="16"/>
          <w:szCs w:val="16"/>
          <w:cs/>
          <w:lang w:bidi="hi-IN"/>
        </w:rPr>
        <w:t>अनने शरीर एतत् स्वप्रकाशं भवेद् ध्रुवम्</w:t>
      </w:r>
      <w:r w:rsidR="00E57E15" w:rsidRPr="00E57E15">
        <w:rPr>
          <w:rFonts w:ascii="-webkit-standard" w:hAnsi="-webkit-standard"/>
          <w:color w:val="000000"/>
          <w:sz w:val="16"/>
          <w:szCs w:val="16"/>
        </w:rPr>
        <w:t>”</w:t>
      </w:r>
      <w:r w:rsidR="00E57E15" w:rsidRPr="00E57E15">
        <w:rPr>
          <w:rFonts w:ascii="Times New Roman" w:eastAsia="Times New Roman" w:hAnsi="Times New Roman" w:cs="Times New Roman"/>
          <w:i/>
          <w:iCs/>
          <w:color w:val="000000"/>
          <w:kern w:val="0"/>
          <w:sz w:val="16"/>
          <w:szCs w:val="16"/>
          <w:lang w:eastAsia="en-GB"/>
          <w14:ligatures w14:val="none"/>
        </w:rPr>
        <w:t xml:space="preserve"> </w:t>
      </w:r>
      <w:r w:rsidRPr="00E57E15">
        <w:rPr>
          <w:rFonts w:ascii="Times New Roman" w:eastAsia="Times New Roman" w:hAnsi="Times New Roman" w:cs="Times New Roman"/>
          <w:i/>
          <w:iCs/>
          <w:color w:val="000000"/>
          <w:kern w:val="0"/>
          <w:sz w:val="18"/>
          <w:szCs w:val="18"/>
          <w:lang w:eastAsia="en-GB"/>
          <w14:ligatures w14:val="none"/>
        </w:rPr>
        <w:t>“Anena śarīra etat svaprakāśaṃ bhaved dhruvam”</w:t>
      </w:r>
      <w:r w:rsidRPr="00E57E15">
        <w:rPr>
          <w:rFonts w:ascii="Times New Roman" w:eastAsia="Times New Roman" w:hAnsi="Times New Roman" w:cs="Times New Roman"/>
          <w:color w:val="000000"/>
          <w:kern w:val="0"/>
          <w:sz w:val="18"/>
          <w:szCs w:val="18"/>
          <w:lang w:eastAsia="en-GB"/>
          <w14:ligatures w14:val="none"/>
        </w:rPr>
        <w:t> (“It is through this very body that self-revelation is assured”). There exist striking parallels between the </w:t>
      </w:r>
      <w:r w:rsidRPr="00E57E15">
        <w:rPr>
          <w:rFonts w:ascii="Times New Roman" w:eastAsia="Times New Roman" w:hAnsi="Times New Roman" w:cs="Times New Roman"/>
          <w:i/>
          <w:iCs/>
          <w:color w:val="000000"/>
          <w:kern w:val="0"/>
          <w:sz w:val="18"/>
          <w:szCs w:val="18"/>
          <w:lang w:eastAsia="en-GB"/>
          <w14:ligatures w14:val="none"/>
        </w:rPr>
        <w:t>mahāsukha</w:t>
      </w:r>
      <w:r w:rsidRPr="007011A4">
        <w:rPr>
          <w:rFonts w:ascii="Times New Roman" w:eastAsia="Times New Roman" w:hAnsi="Times New Roman" w:cs="Times New Roman"/>
          <w:color w:val="000000"/>
          <w:kern w:val="0"/>
          <w:sz w:val="18"/>
          <w:szCs w:val="18"/>
          <w:lang w:eastAsia="en-GB"/>
          <w14:ligatures w14:val="none"/>
        </w:rPr>
        <w:t> (“great bliss”) and </w:t>
      </w:r>
      <w:r w:rsidRPr="007011A4">
        <w:rPr>
          <w:rFonts w:ascii="Times New Roman" w:eastAsia="Times New Roman" w:hAnsi="Times New Roman" w:cs="Times New Roman"/>
          <w:i/>
          <w:iCs/>
          <w:color w:val="000000"/>
          <w:kern w:val="0"/>
          <w:sz w:val="18"/>
          <w:szCs w:val="18"/>
          <w:lang w:eastAsia="en-GB"/>
          <w14:ligatures w14:val="none"/>
        </w:rPr>
        <w:t>sahaja</w:t>
      </w:r>
      <w:r w:rsidRPr="007011A4">
        <w:rPr>
          <w:rFonts w:ascii="Times New Roman" w:eastAsia="Times New Roman" w:hAnsi="Times New Roman" w:cs="Times New Roman"/>
          <w:color w:val="000000"/>
          <w:kern w:val="0"/>
          <w:sz w:val="18"/>
          <w:szCs w:val="18"/>
          <w:lang w:eastAsia="en-GB"/>
          <w14:ligatures w14:val="none"/>
        </w:rPr>
        <w:t> (“spontaneous awakening”) of the Hevajratantra and the </w:t>
      </w:r>
      <w:r w:rsidRPr="007011A4">
        <w:rPr>
          <w:rFonts w:ascii="Times New Roman" w:eastAsia="Times New Roman" w:hAnsi="Times New Roman" w:cs="Times New Roman"/>
          <w:i/>
          <w:iCs/>
          <w:color w:val="000000"/>
          <w:kern w:val="0"/>
          <w:sz w:val="18"/>
          <w:szCs w:val="18"/>
          <w:lang w:eastAsia="en-GB"/>
          <w14:ligatures w14:val="none"/>
        </w:rPr>
        <w:t>paramānanda</w:t>
      </w:r>
      <w:r w:rsidRPr="007011A4">
        <w:rPr>
          <w:rFonts w:ascii="Times New Roman" w:eastAsia="Times New Roman" w:hAnsi="Times New Roman" w:cs="Times New Roman"/>
          <w:color w:val="000000"/>
          <w:kern w:val="0"/>
          <w:sz w:val="18"/>
          <w:szCs w:val="18"/>
          <w:lang w:eastAsia="en-GB"/>
          <w14:ligatures w14:val="none"/>
        </w:rPr>
        <w:t> (“supreme bliss”) and ego-dissolution (</w:t>
      </w:r>
      <w:r w:rsidRPr="007011A4">
        <w:rPr>
          <w:rFonts w:ascii="Times New Roman" w:eastAsia="Times New Roman" w:hAnsi="Times New Roman" w:cs="Times New Roman"/>
          <w:i/>
          <w:iCs/>
          <w:color w:val="000000"/>
          <w:kern w:val="0"/>
          <w:sz w:val="18"/>
          <w:szCs w:val="18"/>
          <w:lang w:eastAsia="en-GB"/>
          <w14:ligatures w14:val="none"/>
        </w:rPr>
        <w:t>ahaṃ-vismṛti</w:t>
      </w:r>
      <w:r w:rsidRPr="007011A4">
        <w:rPr>
          <w:rFonts w:ascii="Times New Roman" w:eastAsia="Times New Roman" w:hAnsi="Times New Roman" w:cs="Times New Roman"/>
          <w:color w:val="000000"/>
          <w:kern w:val="0"/>
          <w:sz w:val="18"/>
          <w:szCs w:val="18"/>
          <w:lang w:eastAsia="en-GB"/>
          <w14:ligatures w14:val="none"/>
        </w:rPr>
        <w:t>) of Śaiva Tantra. For this reason, many modern scholars — such as David Peter Lawrence in </w:t>
      </w:r>
      <w:r w:rsidRPr="007011A4">
        <w:rPr>
          <w:rFonts w:ascii="Times New Roman" w:eastAsia="Times New Roman" w:hAnsi="Times New Roman" w:cs="Times New Roman"/>
          <w:i/>
          <w:iCs/>
          <w:color w:val="000000"/>
          <w:kern w:val="0"/>
          <w:sz w:val="18"/>
          <w:szCs w:val="18"/>
          <w:lang w:eastAsia="en-GB"/>
          <w14:ligatures w14:val="none"/>
        </w:rPr>
        <w:t>The Disclosure of Śakti in Aesthetics</w:t>
      </w:r>
      <w:r w:rsidRPr="007011A4">
        <w:rPr>
          <w:rFonts w:ascii="Times New Roman" w:eastAsia="Times New Roman" w:hAnsi="Times New Roman" w:cs="Times New Roman"/>
          <w:color w:val="000000"/>
          <w:kern w:val="0"/>
          <w:sz w:val="18"/>
          <w:szCs w:val="18"/>
          <w:lang w:eastAsia="en-GB"/>
          <w14:ligatures w14:val="none"/>
        </w:rPr>
        <w:t> (2013) — analyze Śaiva and Buddhist Tantra not as entirely separate traditions, but as complementary branches of a shared South Asian tantric aesthetic philosophy. For a discussion in Bangla, see Arun Kumar Biswas, </w:t>
      </w:r>
      <w:r w:rsidRPr="007011A4">
        <w:rPr>
          <w:rFonts w:ascii="Times New Roman" w:eastAsia="Times New Roman" w:hAnsi="Times New Roman" w:cs="Times New Roman"/>
          <w:i/>
          <w:iCs/>
          <w:color w:val="000000"/>
          <w:kern w:val="0"/>
          <w:sz w:val="18"/>
          <w:szCs w:val="18"/>
          <w:lang w:eastAsia="en-GB"/>
          <w14:ligatures w14:val="none"/>
        </w:rPr>
        <w:t>Kashmir Shaivadarśan o</w:t>
      </w:r>
      <w:r w:rsidR="00E57E15">
        <w:rPr>
          <w:rFonts w:ascii="Times New Roman" w:eastAsia="Times New Roman" w:hAnsi="Times New Roman" w:cs="Times New Roman"/>
          <w:i/>
          <w:iCs/>
          <w:color w:val="000000"/>
          <w:kern w:val="0"/>
          <w:sz w:val="18"/>
          <w:szCs w:val="18"/>
          <w:lang w:eastAsia="en-GB"/>
          <w14:ligatures w14:val="none"/>
        </w:rPr>
        <w:t xml:space="preserve"> </w:t>
      </w:r>
      <w:r w:rsidRPr="007011A4">
        <w:rPr>
          <w:rFonts w:ascii="Times New Roman" w:eastAsia="Times New Roman" w:hAnsi="Times New Roman" w:cs="Times New Roman"/>
          <w:i/>
          <w:iCs/>
          <w:color w:val="000000"/>
          <w:kern w:val="0"/>
          <w:sz w:val="18"/>
          <w:szCs w:val="18"/>
          <w:lang w:eastAsia="en-GB"/>
          <w14:ligatures w14:val="none"/>
        </w:rPr>
        <w:t>Abhinavagupta</w:t>
      </w:r>
      <w:r w:rsidRPr="007011A4">
        <w:rPr>
          <w:rFonts w:ascii="Times New Roman" w:eastAsia="Times New Roman" w:hAnsi="Times New Roman" w:cs="Times New Roman"/>
          <w:color w:val="000000"/>
          <w:kern w:val="0"/>
          <w:sz w:val="18"/>
          <w:szCs w:val="18"/>
          <w:lang w:eastAsia="en-GB"/>
          <w14:ligatures w14:val="none"/>
        </w:rPr>
        <w:t> </w:t>
      </w:r>
      <w:r w:rsidR="00E57E15">
        <w:rPr>
          <w:rFonts w:ascii="Times New Roman" w:eastAsia="Times New Roman" w:hAnsi="Times New Roman" w:cs="Times New Roman"/>
          <w:color w:val="000000"/>
          <w:kern w:val="0"/>
          <w:sz w:val="18"/>
          <w:szCs w:val="18"/>
          <w:lang w:eastAsia="en-GB"/>
          <w14:ligatures w14:val="none"/>
        </w:rPr>
        <w:t xml:space="preserve"> </w:t>
      </w:r>
      <w:r w:rsidRPr="007011A4">
        <w:rPr>
          <w:rFonts w:ascii="Times New Roman" w:eastAsia="Times New Roman" w:hAnsi="Times New Roman" w:cs="Times New Roman"/>
          <w:color w:val="000000"/>
          <w:kern w:val="0"/>
          <w:sz w:val="18"/>
          <w:szCs w:val="18"/>
          <w:lang w:eastAsia="en-GB"/>
          <w14:ligatures w14:val="none"/>
        </w:rPr>
        <w:t>(Kolkata: Sanskrit Pustak Bhandar, 2009).</w:t>
      </w:r>
    </w:p>
    <w:p w14:paraId="53D935B5" w14:textId="75AB41A1" w:rsidR="007011A4" w:rsidRPr="007011A4" w:rsidRDefault="007011A4">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dobeBengali-Regular">
    <w:altName w:val="Calibri"/>
    <w:panose1 w:val="020B0604020202020204"/>
    <w:charset w:val="4D"/>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webkit-standard">
    <w:altName w:val="Cambria"/>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3234325"/>
      <w:docPartObj>
        <w:docPartGallery w:val="Page Numbers (Bottom of Page)"/>
        <w:docPartUnique/>
      </w:docPartObj>
    </w:sdtPr>
    <w:sdtContent>
      <w:p w14:paraId="2D2BC45A" w14:textId="5C8DBDB6" w:rsidR="009F6118" w:rsidRDefault="009F6118" w:rsidP="00200A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9DB4BF" w14:textId="77777777" w:rsidR="009F6118" w:rsidRDefault="009F6118" w:rsidP="009F61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4806212"/>
      <w:docPartObj>
        <w:docPartGallery w:val="Page Numbers (Bottom of Page)"/>
        <w:docPartUnique/>
      </w:docPartObj>
    </w:sdtPr>
    <w:sdtContent>
      <w:p w14:paraId="04CC0CB7" w14:textId="14BF1C34" w:rsidR="009F6118" w:rsidRDefault="009F6118" w:rsidP="00200A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5</w:t>
        </w:r>
        <w:r>
          <w:rPr>
            <w:rStyle w:val="PageNumber"/>
          </w:rPr>
          <w:fldChar w:fldCharType="end"/>
        </w:r>
      </w:p>
    </w:sdtContent>
  </w:sdt>
  <w:p w14:paraId="37E26F13" w14:textId="77777777" w:rsidR="009F6118" w:rsidRDefault="009F6118" w:rsidP="009F61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B1CC" w14:textId="77777777" w:rsidR="002A7493" w:rsidRDefault="002A7493" w:rsidP="00B34612">
      <w:r>
        <w:separator/>
      </w:r>
    </w:p>
  </w:footnote>
  <w:footnote w:type="continuationSeparator" w:id="0">
    <w:p w14:paraId="03B93E8F" w14:textId="77777777" w:rsidR="002A7493" w:rsidRDefault="002A7493" w:rsidP="00B34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D43"/>
    <w:multiLevelType w:val="multilevel"/>
    <w:tmpl w:val="235E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81FBC"/>
    <w:multiLevelType w:val="multilevel"/>
    <w:tmpl w:val="2CA6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82096"/>
    <w:multiLevelType w:val="multilevel"/>
    <w:tmpl w:val="9E86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4348D"/>
    <w:multiLevelType w:val="multilevel"/>
    <w:tmpl w:val="A910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718FD"/>
    <w:multiLevelType w:val="multilevel"/>
    <w:tmpl w:val="9104C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D3D32"/>
    <w:multiLevelType w:val="multilevel"/>
    <w:tmpl w:val="ECAE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D695A"/>
    <w:multiLevelType w:val="multilevel"/>
    <w:tmpl w:val="F56A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0710D"/>
    <w:multiLevelType w:val="multilevel"/>
    <w:tmpl w:val="B25A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97181"/>
    <w:multiLevelType w:val="multilevel"/>
    <w:tmpl w:val="6A7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67D20"/>
    <w:multiLevelType w:val="multilevel"/>
    <w:tmpl w:val="F2E2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0104B"/>
    <w:multiLevelType w:val="multilevel"/>
    <w:tmpl w:val="5C34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21717"/>
    <w:multiLevelType w:val="multilevel"/>
    <w:tmpl w:val="E48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26B36"/>
    <w:multiLevelType w:val="multilevel"/>
    <w:tmpl w:val="990C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018A6"/>
    <w:multiLevelType w:val="multilevel"/>
    <w:tmpl w:val="A46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17538"/>
    <w:multiLevelType w:val="multilevel"/>
    <w:tmpl w:val="8F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961CC"/>
    <w:multiLevelType w:val="multilevel"/>
    <w:tmpl w:val="1CF6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70828"/>
    <w:multiLevelType w:val="multilevel"/>
    <w:tmpl w:val="0DCA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D1B97"/>
    <w:multiLevelType w:val="multilevel"/>
    <w:tmpl w:val="3012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E4D45"/>
    <w:multiLevelType w:val="multilevel"/>
    <w:tmpl w:val="1B72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71D27"/>
    <w:multiLevelType w:val="multilevel"/>
    <w:tmpl w:val="2162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554CB"/>
    <w:multiLevelType w:val="multilevel"/>
    <w:tmpl w:val="5F2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7D7754"/>
    <w:multiLevelType w:val="multilevel"/>
    <w:tmpl w:val="413A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756B6"/>
    <w:multiLevelType w:val="multilevel"/>
    <w:tmpl w:val="B8C2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4E79A5"/>
    <w:multiLevelType w:val="multilevel"/>
    <w:tmpl w:val="2398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C5198"/>
    <w:multiLevelType w:val="multilevel"/>
    <w:tmpl w:val="1724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2505C"/>
    <w:multiLevelType w:val="multilevel"/>
    <w:tmpl w:val="3DA0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B130C"/>
    <w:multiLevelType w:val="multilevel"/>
    <w:tmpl w:val="E06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5E3E7E"/>
    <w:multiLevelType w:val="multilevel"/>
    <w:tmpl w:val="5252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172165">
    <w:abstractNumId w:val="20"/>
  </w:num>
  <w:num w:numId="2" w16cid:durableId="879635353">
    <w:abstractNumId w:val="25"/>
  </w:num>
  <w:num w:numId="3" w16cid:durableId="1828017024">
    <w:abstractNumId w:val="18"/>
  </w:num>
  <w:num w:numId="4" w16cid:durableId="1488863555">
    <w:abstractNumId w:val="8"/>
  </w:num>
  <w:num w:numId="5" w16cid:durableId="1658803393">
    <w:abstractNumId w:val="22"/>
  </w:num>
  <w:num w:numId="6" w16cid:durableId="485323322">
    <w:abstractNumId w:val="26"/>
  </w:num>
  <w:num w:numId="7" w16cid:durableId="1938949216">
    <w:abstractNumId w:val="27"/>
  </w:num>
  <w:num w:numId="8" w16cid:durableId="1024790841">
    <w:abstractNumId w:val="3"/>
  </w:num>
  <w:num w:numId="9" w16cid:durableId="1715537334">
    <w:abstractNumId w:val="6"/>
  </w:num>
  <w:num w:numId="10" w16cid:durableId="2122187549">
    <w:abstractNumId w:val="17"/>
  </w:num>
  <w:num w:numId="11" w16cid:durableId="1053777052">
    <w:abstractNumId w:val="23"/>
  </w:num>
  <w:num w:numId="12" w16cid:durableId="1136531375">
    <w:abstractNumId w:val="4"/>
  </w:num>
  <w:num w:numId="13" w16cid:durableId="1219392647">
    <w:abstractNumId w:val="14"/>
  </w:num>
  <w:num w:numId="14" w16cid:durableId="1195575233">
    <w:abstractNumId w:val="0"/>
  </w:num>
  <w:num w:numId="15" w16cid:durableId="1592541949">
    <w:abstractNumId w:val="12"/>
  </w:num>
  <w:num w:numId="16" w16cid:durableId="1284188787">
    <w:abstractNumId w:val="11"/>
  </w:num>
  <w:num w:numId="17" w16cid:durableId="957225042">
    <w:abstractNumId w:val="13"/>
  </w:num>
  <w:num w:numId="18" w16cid:durableId="73673662">
    <w:abstractNumId w:val="10"/>
  </w:num>
  <w:num w:numId="19" w16cid:durableId="757562939">
    <w:abstractNumId w:val="21"/>
  </w:num>
  <w:num w:numId="20" w16cid:durableId="736051218">
    <w:abstractNumId w:val="24"/>
  </w:num>
  <w:num w:numId="21" w16cid:durableId="2020960593">
    <w:abstractNumId w:val="15"/>
  </w:num>
  <w:num w:numId="22" w16cid:durableId="131867207">
    <w:abstractNumId w:val="9"/>
  </w:num>
  <w:num w:numId="23" w16cid:durableId="1696350857">
    <w:abstractNumId w:val="16"/>
  </w:num>
  <w:num w:numId="24" w16cid:durableId="1003699934">
    <w:abstractNumId w:val="19"/>
  </w:num>
  <w:num w:numId="25" w16cid:durableId="673799831">
    <w:abstractNumId w:val="1"/>
  </w:num>
  <w:num w:numId="26" w16cid:durableId="1136023604">
    <w:abstractNumId w:val="7"/>
  </w:num>
  <w:num w:numId="27" w16cid:durableId="252789257">
    <w:abstractNumId w:val="5"/>
  </w:num>
  <w:num w:numId="28" w16cid:durableId="330185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0C"/>
    <w:rsid w:val="000B3326"/>
    <w:rsid w:val="0013210C"/>
    <w:rsid w:val="00184317"/>
    <w:rsid w:val="002051B7"/>
    <w:rsid w:val="00223C18"/>
    <w:rsid w:val="00247A8E"/>
    <w:rsid w:val="00291C7E"/>
    <w:rsid w:val="002A7493"/>
    <w:rsid w:val="00331CDD"/>
    <w:rsid w:val="00461818"/>
    <w:rsid w:val="00483D94"/>
    <w:rsid w:val="004B54A9"/>
    <w:rsid w:val="0055354A"/>
    <w:rsid w:val="00582F28"/>
    <w:rsid w:val="005B0CB1"/>
    <w:rsid w:val="005C7F50"/>
    <w:rsid w:val="0063733B"/>
    <w:rsid w:val="006679EE"/>
    <w:rsid w:val="006C3253"/>
    <w:rsid w:val="006E3ACB"/>
    <w:rsid w:val="006F7FF2"/>
    <w:rsid w:val="007011A4"/>
    <w:rsid w:val="00882031"/>
    <w:rsid w:val="008C2FD7"/>
    <w:rsid w:val="009013F0"/>
    <w:rsid w:val="00933D59"/>
    <w:rsid w:val="00952680"/>
    <w:rsid w:val="009571F7"/>
    <w:rsid w:val="009742C0"/>
    <w:rsid w:val="009A7EAE"/>
    <w:rsid w:val="009D1089"/>
    <w:rsid w:val="009F6118"/>
    <w:rsid w:val="00A204DE"/>
    <w:rsid w:val="00A61754"/>
    <w:rsid w:val="00A96FB6"/>
    <w:rsid w:val="00AD79C7"/>
    <w:rsid w:val="00AF1592"/>
    <w:rsid w:val="00AF49A4"/>
    <w:rsid w:val="00B24830"/>
    <w:rsid w:val="00B26B63"/>
    <w:rsid w:val="00B34612"/>
    <w:rsid w:val="00B8082B"/>
    <w:rsid w:val="00BE3008"/>
    <w:rsid w:val="00C2003E"/>
    <w:rsid w:val="00C64BA4"/>
    <w:rsid w:val="00C86712"/>
    <w:rsid w:val="00D17367"/>
    <w:rsid w:val="00DD48C8"/>
    <w:rsid w:val="00DF79CA"/>
    <w:rsid w:val="00E071E6"/>
    <w:rsid w:val="00E57E15"/>
    <w:rsid w:val="00E6706C"/>
    <w:rsid w:val="00ED037B"/>
    <w:rsid w:val="00F66292"/>
  </w:rsids>
  <m:mathPr>
    <m:mathFont m:val="Cambria Math"/>
    <m:brkBin m:val="before"/>
    <m:brkBinSub m:val="--"/>
    <m:smallFrac m:val="0"/>
    <m:dispDef/>
    <m:lMargin m:val="0"/>
    <m:rMargin m:val="0"/>
    <m:defJc m:val="centerGroup"/>
    <m:wrapIndent m:val="1440"/>
    <m:intLim m:val="subSup"/>
    <m:naryLim m:val="undOvr"/>
  </m:mathPr>
  <w:themeFontLang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B0EF2"/>
  <w15:chartTrackingRefBased/>
  <w15:docId w15:val="{4CB53586-D8BF-3844-99A2-78981C23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eastAsia="en-US" w:bidi="bn-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3210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13210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13210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32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1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1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1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1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10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13210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13210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32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10C"/>
    <w:rPr>
      <w:rFonts w:eastAsiaTheme="majorEastAsia" w:cstheme="majorBidi"/>
      <w:color w:val="272727" w:themeColor="text1" w:themeTint="D8"/>
    </w:rPr>
  </w:style>
  <w:style w:type="paragraph" w:styleId="Title">
    <w:name w:val="Title"/>
    <w:basedOn w:val="Normal"/>
    <w:next w:val="Normal"/>
    <w:link w:val="TitleChar"/>
    <w:uiPriority w:val="10"/>
    <w:qFormat/>
    <w:rsid w:val="0013210C"/>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3210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3210C"/>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3210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321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210C"/>
    <w:rPr>
      <w:rFonts w:cs="Vrinda"/>
      <w:i/>
      <w:iCs/>
      <w:color w:val="404040" w:themeColor="text1" w:themeTint="BF"/>
    </w:rPr>
  </w:style>
  <w:style w:type="paragraph" w:styleId="ListParagraph">
    <w:name w:val="List Paragraph"/>
    <w:basedOn w:val="Normal"/>
    <w:uiPriority w:val="34"/>
    <w:qFormat/>
    <w:rsid w:val="0013210C"/>
    <w:pPr>
      <w:ind w:left="720"/>
      <w:contextualSpacing/>
    </w:pPr>
  </w:style>
  <w:style w:type="character" w:styleId="IntenseEmphasis">
    <w:name w:val="Intense Emphasis"/>
    <w:basedOn w:val="DefaultParagraphFont"/>
    <w:uiPriority w:val="21"/>
    <w:qFormat/>
    <w:rsid w:val="0013210C"/>
    <w:rPr>
      <w:i/>
      <w:iCs/>
      <w:color w:val="0F4761" w:themeColor="accent1" w:themeShade="BF"/>
    </w:rPr>
  </w:style>
  <w:style w:type="paragraph" w:styleId="IntenseQuote">
    <w:name w:val="Intense Quote"/>
    <w:basedOn w:val="Normal"/>
    <w:next w:val="Normal"/>
    <w:link w:val="IntenseQuoteChar"/>
    <w:uiPriority w:val="30"/>
    <w:qFormat/>
    <w:rsid w:val="00132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10C"/>
    <w:rPr>
      <w:rFonts w:cs="Vrinda"/>
      <w:i/>
      <w:iCs/>
      <w:color w:val="0F4761" w:themeColor="accent1" w:themeShade="BF"/>
    </w:rPr>
  </w:style>
  <w:style w:type="character" w:styleId="IntenseReference">
    <w:name w:val="Intense Reference"/>
    <w:basedOn w:val="DefaultParagraphFont"/>
    <w:uiPriority w:val="32"/>
    <w:qFormat/>
    <w:rsid w:val="0013210C"/>
    <w:rPr>
      <w:b/>
      <w:bCs/>
      <w:smallCaps/>
      <w:color w:val="0F4761" w:themeColor="accent1" w:themeShade="BF"/>
      <w:spacing w:val="5"/>
    </w:rPr>
  </w:style>
  <w:style w:type="character" w:customStyle="1" w:styleId="apple-converted-space">
    <w:name w:val="apple-converted-space"/>
    <w:basedOn w:val="DefaultParagraphFont"/>
    <w:rsid w:val="0013210C"/>
  </w:style>
  <w:style w:type="character" w:styleId="Emphasis">
    <w:name w:val="Emphasis"/>
    <w:basedOn w:val="DefaultParagraphFont"/>
    <w:uiPriority w:val="20"/>
    <w:qFormat/>
    <w:rsid w:val="0013210C"/>
    <w:rPr>
      <w:i/>
      <w:iCs/>
    </w:rPr>
  </w:style>
  <w:style w:type="paragraph" w:styleId="NormalWeb">
    <w:name w:val="Normal (Web)"/>
    <w:basedOn w:val="Normal"/>
    <w:uiPriority w:val="99"/>
    <w:semiHidden/>
    <w:unhideWhenUsed/>
    <w:rsid w:val="0013210C"/>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bullet">
    <w:name w:val="bullet"/>
    <w:basedOn w:val="Normal"/>
    <w:uiPriority w:val="99"/>
    <w:rsid w:val="00BE3008"/>
    <w:pPr>
      <w:suppressAutoHyphens/>
      <w:autoSpaceDE w:val="0"/>
      <w:autoSpaceDN w:val="0"/>
      <w:adjustRightInd w:val="0"/>
      <w:spacing w:after="180" w:line="290" w:lineRule="atLeast"/>
      <w:ind w:left="288" w:hanging="288"/>
      <w:jc w:val="both"/>
      <w:textAlignment w:val="center"/>
    </w:pPr>
    <w:rPr>
      <w:rFonts w:ascii="AdobeBengali-Regular" w:hAnsi="AdobeBengali-Regular" w:cs="AdobeBengali-Regular"/>
      <w:color w:val="000000"/>
      <w:kern w:val="0"/>
      <w:szCs w:val="24"/>
      <w:lang w:val="en-US"/>
    </w:rPr>
  </w:style>
  <w:style w:type="character" w:customStyle="1" w:styleId="WhiteText">
    <w:name w:val="White_Text"/>
    <w:uiPriority w:val="99"/>
    <w:rsid w:val="00BE3008"/>
    <w:rPr>
      <w:outline/>
    </w:rPr>
  </w:style>
  <w:style w:type="paragraph" w:styleId="EndnoteText">
    <w:name w:val="endnote text"/>
    <w:basedOn w:val="Normal"/>
    <w:link w:val="EndnoteTextChar"/>
    <w:uiPriority w:val="99"/>
    <w:semiHidden/>
    <w:unhideWhenUsed/>
    <w:rsid w:val="00B34612"/>
    <w:rPr>
      <w:sz w:val="20"/>
      <w:szCs w:val="25"/>
    </w:rPr>
  </w:style>
  <w:style w:type="character" w:customStyle="1" w:styleId="EndnoteTextChar">
    <w:name w:val="Endnote Text Char"/>
    <w:basedOn w:val="DefaultParagraphFont"/>
    <w:link w:val="EndnoteText"/>
    <w:uiPriority w:val="99"/>
    <w:semiHidden/>
    <w:rsid w:val="00B34612"/>
    <w:rPr>
      <w:rFonts w:cs="Vrinda"/>
      <w:sz w:val="20"/>
      <w:szCs w:val="25"/>
    </w:rPr>
  </w:style>
  <w:style w:type="character" w:styleId="EndnoteReference">
    <w:name w:val="endnote reference"/>
    <w:basedOn w:val="DefaultParagraphFont"/>
    <w:uiPriority w:val="99"/>
    <w:semiHidden/>
    <w:unhideWhenUsed/>
    <w:rsid w:val="00B34612"/>
    <w:rPr>
      <w:vertAlign w:val="superscript"/>
    </w:rPr>
  </w:style>
  <w:style w:type="character" w:customStyle="1" w:styleId="whitespace-normal">
    <w:name w:val="whitespace-normal"/>
    <w:basedOn w:val="DefaultParagraphFont"/>
    <w:rsid w:val="007011A4"/>
  </w:style>
  <w:style w:type="paragraph" w:styleId="Header">
    <w:name w:val="header"/>
    <w:basedOn w:val="Normal"/>
    <w:link w:val="HeaderChar"/>
    <w:uiPriority w:val="99"/>
    <w:unhideWhenUsed/>
    <w:rsid w:val="00A96FB6"/>
    <w:pPr>
      <w:tabs>
        <w:tab w:val="center" w:pos="4513"/>
        <w:tab w:val="right" w:pos="9026"/>
      </w:tabs>
    </w:pPr>
  </w:style>
  <w:style w:type="character" w:customStyle="1" w:styleId="HeaderChar">
    <w:name w:val="Header Char"/>
    <w:basedOn w:val="DefaultParagraphFont"/>
    <w:link w:val="Header"/>
    <w:uiPriority w:val="99"/>
    <w:rsid w:val="00A96FB6"/>
    <w:rPr>
      <w:rFonts w:cs="Vrinda"/>
    </w:rPr>
  </w:style>
  <w:style w:type="paragraph" w:styleId="Footer">
    <w:name w:val="footer"/>
    <w:basedOn w:val="Normal"/>
    <w:link w:val="FooterChar"/>
    <w:uiPriority w:val="99"/>
    <w:unhideWhenUsed/>
    <w:rsid w:val="00A96FB6"/>
    <w:pPr>
      <w:tabs>
        <w:tab w:val="center" w:pos="4513"/>
        <w:tab w:val="right" w:pos="9026"/>
      </w:tabs>
    </w:pPr>
  </w:style>
  <w:style w:type="character" w:customStyle="1" w:styleId="FooterChar">
    <w:name w:val="Footer Char"/>
    <w:basedOn w:val="DefaultParagraphFont"/>
    <w:link w:val="Footer"/>
    <w:uiPriority w:val="99"/>
    <w:rsid w:val="00A96FB6"/>
    <w:rPr>
      <w:rFonts w:cs="Vrinda"/>
    </w:rPr>
  </w:style>
  <w:style w:type="character" w:styleId="PageNumber">
    <w:name w:val="page number"/>
    <w:basedOn w:val="DefaultParagraphFont"/>
    <w:uiPriority w:val="99"/>
    <w:semiHidden/>
    <w:unhideWhenUsed/>
    <w:rsid w:val="009F6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hc.unesco.org/en/list/322/?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12433</Words>
  <Characters>70874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Lubna Marium</dc:creator>
  <cp:keywords/>
  <dc:description/>
  <cp:lastModifiedBy>Rik Amrit</cp:lastModifiedBy>
  <cp:revision>3</cp:revision>
  <dcterms:created xsi:type="dcterms:W3CDTF">2026-06-05T03:52:00Z</dcterms:created>
  <dcterms:modified xsi:type="dcterms:W3CDTF">2026-06-05T03:53:00Z</dcterms:modified>
</cp:coreProperties>
</file>